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344" w:rsidRDefault="005F4344" w:rsidP="005F4344">
      <w:pPr>
        <w:spacing w:after="140"/>
        <w:ind w:left="720" w:hanging="720"/>
        <w:jc w:val="center"/>
        <w:rPr>
          <w:rFonts w:cs="Arial"/>
        </w:rPr>
      </w:pPr>
      <w:r>
        <w:rPr>
          <w:rFonts w:cs="Arial"/>
          <w:b/>
        </w:rPr>
        <w:t>EXPLANATION OF EFFECT OF BEING TREATED AS AN ACCREDITED INVESTOR UNDER THE CONSENT PROVISIONS</w:t>
      </w:r>
    </w:p>
    <w:p w:rsidR="005F4344" w:rsidRPr="00D65F91" w:rsidRDefault="005F4344" w:rsidP="005F4344">
      <w:pPr>
        <w:jc w:val="both"/>
        <w:rPr>
          <w:rFonts w:cs="Arial"/>
          <w:b/>
          <w:i/>
        </w:rPr>
      </w:pPr>
      <w:r w:rsidRPr="00747265">
        <w:rPr>
          <w:rFonts w:cs="Arial"/>
          <w:b/>
          <w:i/>
        </w:rPr>
        <w:t>The following set</w:t>
      </w:r>
      <w:r>
        <w:rPr>
          <w:rFonts w:cs="Arial"/>
          <w:b/>
          <w:i/>
        </w:rPr>
        <w:t>s</w:t>
      </w:r>
      <w:r w:rsidRPr="00747265">
        <w:rPr>
          <w:rFonts w:cs="Arial"/>
          <w:b/>
          <w:i/>
        </w:rPr>
        <w:t xml:space="preserve"> out the </w:t>
      </w:r>
      <w:r>
        <w:rPr>
          <w:rFonts w:cs="Arial"/>
          <w:b/>
          <w:i/>
        </w:rPr>
        <w:t xml:space="preserve">effect under the consent provisions of you being treated by us as an accredited investor. </w:t>
      </w:r>
      <w:r w:rsidRPr="00DC01A6">
        <w:rPr>
          <w:rFonts w:cs="Arial"/>
          <w:b/>
          <w:i/>
        </w:rPr>
        <w:t>Where we deal with you as an accredited investor, we would be exempt from complying with certain requirements under the Financial Advisers Act, Chapter 110 of Singapore (</w:t>
      </w:r>
      <w:r>
        <w:rPr>
          <w:rFonts w:cs="Arial"/>
          <w:b/>
          <w:i/>
        </w:rPr>
        <w:t xml:space="preserve">the </w:t>
      </w:r>
      <w:r w:rsidRPr="00DC01A6">
        <w:rPr>
          <w:rFonts w:cs="Arial"/>
          <w:b/>
          <w:i/>
        </w:rPr>
        <w:t>“FAA”) and certain regulations, notices and guidelines issued thereunder, as well as certain requirements under the Securities and Futures Act, Chapter 289 of Singapore (</w:t>
      </w:r>
      <w:r>
        <w:rPr>
          <w:rFonts w:cs="Arial"/>
          <w:b/>
          <w:i/>
        </w:rPr>
        <w:t xml:space="preserve">the </w:t>
      </w:r>
      <w:r w:rsidRPr="00DC01A6">
        <w:rPr>
          <w:rFonts w:cs="Arial"/>
          <w:b/>
          <w:i/>
        </w:rPr>
        <w:t>“SFA”) and certain regulations and notices issued thereunder.</w:t>
      </w:r>
    </w:p>
    <w:p w:rsidR="005F4344" w:rsidRDefault="005F4344" w:rsidP="005F4344">
      <w:pPr>
        <w:jc w:val="both"/>
        <w:rPr>
          <w:rFonts w:cs="Arial"/>
          <w:b/>
          <w:i/>
        </w:rPr>
      </w:pPr>
    </w:p>
    <w:p w:rsidR="005F4344" w:rsidRDefault="005F4344" w:rsidP="005F4344">
      <w:pPr>
        <w:spacing w:line="276" w:lineRule="auto"/>
        <w:jc w:val="both"/>
        <w:rPr>
          <w:rFonts w:cs="Arial"/>
          <w:b/>
          <w:i/>
        </w:rPr>
      </w:pPr>
      <w:r>
        <w:rPr>
          <w:rFonts w:cs="Arial"/>
          <w:b/>
          <w:i/>
        </w:rPr>
        <w:t xml:space="preserve">Please note that the regulatory requirements that we are exempted from when dealing with you as an accredited investor may be amended and updated from time to time due to regulatory changes or otherwise. </w:t>
      </w:r>
      <w:r w:rsidR="00D5035C">
        <w:rPr>
          <w:rFonts w:cs="Arial"/>
          <w:b/>
          <w:i/>
        </w:rPr>
        <w:t xml:space="preserve">Whilst we have set out the consent provisions under the </w:t>
      </w:r>
      <w:r w:rsidR="00D5035C" w:rsidRPr="003858B6">
        <w:rPr>
          <w:rFonts w:cs="Arial"/>
          <w:b/>
          <w:i/>
        </w:rPr>
        <w:t>Securities and Futures (Licensing and Conduct of Business) Regulations</w:t>
      </w:r>
      <w:r w:rsidR="00D5035C">
        <w:rPr>
          <w:rFonts w:cs="Arial"/>
          <w:b/>
          <w:i/>
        </w:rPr>
        <w:t>, some of these provisions may not be in force yet and may only come into force vis-à-vis us at a later date.</w:t>
      </w:r>
    </w:p>
    <w:p w:rsidR="005F4344" w:rsidRDefault="005F4344" w:rsidP="005F4344">
      <w:pPr>
        <w:jc w:val="both"/>
        <w:rPr>
          <w:rFonts w:cs="Arial"/>
          <w:b/>
          <w:i/>
        </w:rPr>
      </w:pPr>
    </w:p>
    <w:p w:rsidR="005F4344" w:rsidRPr="00747265" w:rsidRDefault="005F4344" w:rsidP="005F4344">
      <w:pPr>
        <w:jc w:val="both"/>
        <w:rPr>
          <w:rFonts w:cs="Arial"/>
          <w:b/>
          <w:i/>
        </w:rPr>
      </w:pPr>
      <w:r w:rsidRPr="00747265">
        <w:rPr>
          <w:rFonts w:cs="Arial"/>
          <w:b/>
          <w:i/>
        </w:rPr>
        <w:t xml:space="preserve">Under the </w:t>
      </w:r>
      <w:r w:rsidRPr="00747265">
        <w:rPr>
          <w:rFonts w:eastAsia="Times New Roman"/>
          <w:b/>
          <w:i/>
        </w:rPr>
        <w:t>SFA and the regulations and notices issued thereunder:</w:t>
      </w:r>
    </w:p>
    <w:p w:rsidR="005F4344" w:rsidRPr="00747265" w:rsidRDefault="005F4344" w:rsidP="005F4344">
      <w:pPr>
        <w:pStyle w:val="ListParagraph"/>
        <w:rPr>
          <w:rFonts w:eastAsia="Times New Roman"/>
          <w:b/>
        </w:rPr>
      </w:pPr>
    </w:p>
    <w:p w:rsidR="005F4344" w:rsidRPr="00951F12" w:rsidRDefault="005F4344" w:rsidP="005F4344">
      <w:pPr>
        <w:numPr>
          <w:ilvl w:val="0"/>
          <w:numId w:val="17"/>
        </w:numPr>
        <w:ind w:right="72"/>
        <w:jc w:val="both"/>
        <w:textAlignment w:val="baseline"/>
        <w:rPr>
          <w:rFonts w:eastAsia="Times New Roman"/>
        </w:rPr>
      </w:pPr>
      <w:r>
        <w:rPr>
          <w:rFonts w:cs="Arial"/>
          <w:b/>
        </w:rPr>
        <w:t>Compensation from fidelity fund under Section 186(1) of the SFA.</w:t>
      </w:r>
      <w:r>
        <w:rPr>
          <w:rFonts w:cs="Arial"/>
          <w:bCs/>
          <w:iCs/>
        </w:rPr>
        <w:t xml:space="preserve"> The fidelity fund is established by </w:t>
      </w:r>
      <w:r>
        <w:rPr>
          <w:rFonts w:eastAsia="Times New Roman"/>
        </w:rPr>
        <w:t xml:space="preserve">an approved exchange (such as and including Singapore Exchange Securities Trading Limited, Singapore Exchange Derivatives Trading Limited, </w:t>
      </w:r>
      <w:proofErr w:type="gramStart"/>
      <w:r>
        <w:rPr>
          <w:rFonts w:eastAsia="Times New Roman"/>
        </w:rPr>
        <w:t>ICE</w:t>
      </w:r>
      <w:proofErr w:type="gramEnd"/>
      <w:r>
        <w:rPr>
          <w:rFonts w:eastAsia="Times New Roman"/>
        </w:rPr>
        <w:t xml:space="preserve"> Futures Singapore </w:t>
      </w:r>
      <w:proofErr w:type="spellStart"/>
      <w:r>
        <w:rPr>
          <w:rFonts w:eastAsia="Times New Roman"/>
        </w:rPr>
        <w:t>Pte.</w:t>
      </w:r>
      <w:proofErr w:type="spellEnd"/>
      <w:r>
        <w:rPr>
          <w:rFonts w:eastAsia="Times New Roman"/>
        </w:rPr>
        <w:t xml:space="preserve"> Ltd. and Asia Pacific Exchange</w:t>
      </w:r>
      <w:r w:rsidRPr="00951F12">
        <w:rPr>
          <w:rFonts w:cs="Arial"/>
          <w:bCs/>
          <w:iCs/>
        </w:rPr>
        <w:t xml:space="preserve"> </w:t>
      </w:r>
      <w:proofErr w:type="spellStart"/>
      <w:r>
        <w:rPr>
          <w:rFonts w:cs="Arial"/>
          <w:bCs/>
          <w:iCs/>
        </w:rPr>
        <w:t>Pte.</w:t>
      </w:r>
      <w:proofErr w:type="spellEnd"/>
      <w:r>
        <w:rPr>
          <w:rFonts w:cs="Arial"/>
          <w:bCs/>
          <w:iCs/>
        </w:rPr>
        <w:t xml:space="preserve"> Ltd.). </w:t>
      </w:r>
      <w:r w:rsidRPr="00951F12">
        <w:rPr>
          <w:rFonts w:cs="Arial"/>
          <w:bCs/>
          <w:iCs/>
        </w:rPr>
        <w:t xml:space="preserve">Section 186(1) of the SFA provides for a fidelity fund to be held and applied for the purposes of compensating persons who suffer pecuniary loss because of certain </w:t>
      </w:r>
      <w:r>
        <w:rPr>
          <w:rFonts w:cs="Arial"/>
        </w:rPr>
        <w:t>defaults</w:t>
      </w:r>
      <w:r w:rsidRPr="00951F12">
        <w:rPr>
          <w:rFonts w:cs="Arial"/>
          <w:bCs/>
          <w:iCs/>
        </w:rPr>
        <w:t xml:space="preserve">. Compensation may be made where there is </w:t>
      </w:r>
      <w:r w:rsidRPr="00951F12">
        <w:rPr>
          <w:rFonts w:cs="Arial"/>
        </w:rPr>
        <w:t>a defalcation committed</w:t>
      </w:r>
      <w:r>
        <w:rPr>
          <w:rFonts w:cs="Arial"/>
        </w:rPr>
        <w:t xml:space="preserve"> by a member of the approved exchange or its agent</w:t>
      </w:r>
      <w:r w:rsidRPr="00951F12">
        <w:rPr>
          <w:rFonts w:cs="Arial"/>
        </w:rPr>
        <w:t xml:space="preserve"> in the course of, or in connection with, a dealing in capital markets products</w:t>
      </w:r>
      <w:r>
        <w:rPr>
          <w:rFonts w:cs="Arial"/>
        </w:rPr>
        <w:t xml:space="preserve"> done on the approved exchange or through a trading linkage of the approved exchange with an overseas exchange, where the defalcation is committed</w:t>
      </w:r>
      <w:r w:rsidRPr="00951F12">
        <w:rPr>
          <w:rFonts w:cs="Arial"/>
        </w:rPr>
        <w:t xml:space="preserve"> in relation to any money or other property which </w:t>
      </w:r>
      <w:r>
        <w:rPr>
          <w:rFonts w:cs="Arial"/>
        </w:rPr>
        <w:t>(</w:t>
      </w:r>
      <w:r w:rsidRPr="00951F12">
        <w:rPr>
          <w:rFonts w:cs="Arial"/>
        </w:rPr>
        <w:t>after the establishment of the fidelity fund</w:t>
      </w:r>
      <w:r>
        <w:rPr>
          <w:rFonts w:cs="Arial"/>
        </w:rPr>
        <w:t>)</w:t>
      </w:r>
      <w:r w:rsidRPr="00951F12">
        <w:rPr>
          <w:rFonts w:cs="Arial"/>
        </w:rPr>
        <w:t xml:space="preserve"> was entrusted to or received</w:t>
      </w:r>
      <w:r>
        <w:rPr>
          <w:rFonts w:cs="Arial"/>
        </w:rPr>
        <w:t xml:space="preserve"> </w:t>
      </w:r>
      <w:r w:rsidRPr="00951F12">
        <w:rPr>
          <w:rFonts w:cs="Arial"/>
        </w:rPr>
        <w:t>by</w:t>
      </w:r>
      <w:r>
        <w:rPr>
          <w:rFonts w:cs="Arial"/>
        </w:rPr>
        <w:t xml:space="preserve">, </w:t>
      </w:r>
      <w:r w:rsidRPr="006D1DA4">
        <w:rPr>
          <w:rFonts w:cs="Arial"/>
          <w:i/>
        </w:rPr>
        <w:t>inter alia</w:t>
      </w:r>
      <w:r>
        <w:rPr>
          <w:rFonts w:cs="Arial"/>
        </w:rPr>
        <w:t>,</w:t>
      </w:r>
      <w:r w:rsidRPr="00951F12">
        <w:rPr>
          <w:rFonts w:cs="Arial"/>
        </w:rPr>
        <w:t xml:space="preserve"> that member or by any of its agents for or on behalf of any other person</w:t>
      </w:r>
      <w:r>
        <w:rPr>
          <w:rFonts w:cs="Arial"/>
        </w:rPr>
        <w:t xml:space="preserve"> or as trustee</w:t>
      </w:r>
      <w:r w:rsidRPr="00951F12">
        <w:rPr>
          <w:rFonts w:cs="Arial"/>
        </w:rPr>
        <w:t>.</w:t>
      </w:r>
    </w:p>
    <w:p w:rsidR="005F4344" w:rsidRDefault="005F4344" w:rsidP="005F4344">
      <w:pPr>
        <w:ind w:left="426" w:right="72"/>
        <w:jc w:val="both"/>
        <w:textAlignment w:val="baseline"/>
        <w:rPr>
          <w:rFonts w:eastAsia="Times New Roman"/>
        </w:rPr>
      </w:pPr>
    </w:p>
    <w:p w:rsidR="005F4344" w:rsidRPr="009C0179" w:rsidRDefault="005F4344" w:rsidP="005F4344">
      <w:pPr>
        <w:ind w:left="426" w:right="72"/>
        <w:jc w:val="both"/>
        <w:textAlignment w:val="baseline"/>
        <w:rPr>
          <w:rFonts w:eastAsia="Times New Roman"/>
          <w:b/>
          <w:i/>
        </w:rPr>
      </w:pPr>
      <w:r>
        <w:rPr>
          <w:rFonts w:cs="Arial"/>
          <w:b/>
          <w:i/>
        </w:rPr>
        <w:t>When we deal with you as</w:t>
      </w:r>
      <w:r w:rsidRPr="009C0179">
        <w:rPr>
          <w:rFonts w:cs="Arial"/>
          <w:b/>
          <w:i/>
        </w:rPr>
        <w:t xml:space="preserve"> an accredited investor, you </w:t>
      </w:r>
      <w:r>
        <w:rPr>
          <w:rFonts w:cs="Arial"/>
          <w:b/>
          <w:i/>
        </w:rPr>
        <w:t>would</w:t>
      </w:r>
      <w:r w:rsidRPr="009C0179">
        <w:rPr>
          <w:rFonts w:cs="Arial"/>
          <w:b/>
          <w:i/>
        </w:rPr>
        <w:t xml:space="preserve"> not be entitled to be compensated from the fidelity fund</w:t>
      </w:r>
      <w:r>
        <w:rPr>
          <w:rFonts w:cs="Arial"/>
          <w:b/>
          <w:i/>
        </w:rPr>
        <w:t>, even if you have suffered pecuniary loss in the manner contemplated under Section 186(1) of the SFA</w:t>
      </w:r>
      <w:r w:rsidRPr="009C0179">
        <w:rPr>
          <w:rFonts w:cs="Arial"/>
          <w:b/>
          <w:i/>
        </w:rPr>
        <w:t>.</w:t>
      </w:r>
      <w:r>
        <w:rPr>
          <w:rFonts w:cs="Arial"/>
          <w:b/>
          <w:i/>
        </w:rPr>
        <w:t xml:space="preserve"> You are therefore not protected by the requirements of Section 186(1) of the SFA.</w:t>
      </w:r>
    </w:p>
    <w:p w:rsidR="005F4344" w:rsidRPr="00D65F91" w:rsidRDefault="005F4344" w:rsidP="005F4344">
      <w:pPr>
        <w:ind w:left="426" w:right="72"/>
        <w:jc w:val="both"/>
        <w:textAlignment w:val="baseline"/>
        <w:rPr>
          <w:rFonts w:eastAsia="Times New Roman"/>
        </w:rPr>
      </w:pPr>
    </w:p>
    <w:p w:rsidR="005F4344" w:rsidRPr="001969D1" w:rsidRDefault="005F4344" w:rsidP="005F4344">
      <w:pPr>
        <w:numPr>
          <w:ilvl w:val="0"/>
          <w:numId w:val="17"/>
        </w:numPr>
        <w:ind w:left="426" w:right="72" w:hanging="426"/>
        <w:jc w:val="both"/>
        <w:textAlignment w:val="baseline"/>
        <w:rPr>
          <w:rFonts w:eastAsia="Times New Roman"/>
        </w:rPr>
      </w:pPr>
      <w:r w:rsidRPr="001969D1">
        <w:rPr>
          <w:rFonts w:eastAsia="Times New Roman"/>
          <w:b/>
        </w:rPr>
        <w:t xml:space="preserve">Prospectus </w:t>
      </w:r>
      <w:r>
        <w:rPr>
          <w:rFonts w:eastAsia="Times New Roman"/>
          <w:b/>
        </w:rPr>
        <w:t>Exemptions</w:t>
      </w:r>
      <w:r w:rsidRPr="001969D1">
        <w:rPr>
          <w:rFonts w:eastAsia="Times New Roman"/>
          <w:b/>
        </w:rPr>
        <w:t xml:space="preserve"> under Sections 275 and </w:t>
      </w:r>
      <w:r>
        <w:rPr>
          <w:rFonts w:eastAsia="Times New Roman"/>
          <w:b/>
        </w:rPr>
        <w:t>3</w:t>
      </w:r>
      <w:r w:rsidRPr="001969D1">
        <w:rPr>
          <w:rFonts w:eastAsia="Times New Roman"/>
          <w:b/>
        </w:rPr>
        <w:t>05 of the SFA.</w:t>
      </w:r>
      <w:r>
        <w:rPr>
          <w:rFonts w:eastAsia="Times New Roman"/>
        </w:rPr>
        <w:t xml:space="preserve"> </w:t>
      </w:r>
      <w:r w:rsidRPr="00D65F91">
        <w:rPr>
          <w:rFonts w:eastAsia="Times New Roman"/>
        </w:rPr>
        <w:t xml:space="preserve">Under Part XIII of the SFA, </w:t>
      </w:r>
      <w:r>
        <w:rPr>
          <w:rFonts w:eastAsia="Times New Roman"/>
        </w:rPr>
        <w:t>a</w:t>
      </w:r>
      <w:r w:rsidRPr="001969D1">
        <w:rPr>
          <w:rFonts w:eastAsia="Times New Roman"/>
        </w:rPr>
        <w:t xml:space="preserve">ll offers of </w:t>
      </w:r>
      <w:r>
        <w:rPr>
          <w:rFonts w:eastAsia="Times New Roman"/>
        </w:rPr>
        <w:t>securities and securities-based derivatives contracts, and</w:t>
      </w:r>
      <w:r w:rsidRPr="001969D1">
        <w:rPr>
          <w:rFonts w:eastAsia="Times New Roman"/>
        </w:rPr>
        <w:t xml:space="preserve"> units of collective investment schemes</w:t>
      </w:r>
      <w:r>
        <w:rPr>
          <w:rFonts w:eastAsia="Times New Roman"/>
        </w:rPr>
        <w:t xml:space="preserve"> </w:t>
      </w:r>
      <w:r w:rsidRPr="001969D1">
        <w:rPr>
          <w:rFonts w:eastAsia="Times New Roman"/>
        </w:rPr>
        <w:t xml:space="preserve">are required to be made in or accompanied by a prospectus in respect of the offer that is lodged and registered with the MAS and which complies with </w:t>
      </w:r>
      <w:r>
        <w:rPr>
          <w:rFonts w:eastAsia="Times New Roman"/>
        </w:rPr>
        <w:t xml:space="preserve">the </w:t>
      </w:r>
      <w:r w:rsidRPr="001969D1">
        <w:rPr>
          <w:rFonts w:eastAsia="Times New Roman"/>
        </w:rPr>
        <w:t xml:space="preserve">prescribed content requirements, unless exempted. The SFA further provides for criminal liability for false and misleading statements contained in the prospectus, omissions to state any information required to be included in the prospectus or omissions to state new circumstances that have risen since the prospectus was lodged with the MAS which </w:t>
      </w:r>
      <w:r w:rsidRPr="001969D1">
        <w:rPr>
          <w:color w:val="000000"/>
        </w:rPr>
        <w:t>would have been required to be included in the prospectus if it had arisen before the prospectus was lodged with the MAS. In addition, certain persons, including the person making the offer, the issuer, the issue manager and the underwriter</w:t>
      </w:r>
      <w:r>
        <w:rPr>
          <w:color w:val="000000"/>
        </w:rPr>
        <w:t xml:space="preserve"> (the “</w:t>
      </w:r>
      <w:r w:rsidRPr="006D1DA4">
        <w:rPr>
          <w:b/>
          <w:color w:val="000000"/>
        </w:rPr>
        <w:t>Persons</w:t>
      </w:r>
      <w:r>
        <w:rPr>
          <w:color w:val="000000"/>
        </w:rPr>
        <w:t>”)</w:t>
      </w:r>
      <w:r w:rsidRPr="001969D1">
        <w:rPr>
          <w:color w:val="000000"/>
        </w:rPr>
        <w:t xml:space="preserve"> </w:t>
      </w:r>
      <w:r>
        <w:rPr>
          <w:color w:val="000000"/>
        </w:rPr>
        <w:t>may be</w:t>
      </w:r>
      <w:r w:rsidRPr="001969D1">
        <w:rPr>
          <w:color w:val="000000"/>
        </w:rPr>
        <w:t xml:space="preserve"> liable to </w:t>
      </w:r>
      <w:r w:rsidRPr="001969D1">
        <w:rPr>
          <w:color w:val="000000"/>
          <w:shd w:val="clear" w:color="auto" w:fill="FFFFFF"/>
        </w:rPr>
        <w:t xml:space="preserve">compensate any person who suffers loss </w:t>
      </w:r>
      <w:r w:rsidRPr="001969D1">
        <w:rPr>
          <w:color w:val="000000"/>
          <w:shd w:val="clear" w:color="auto" w:fill="FFFFFF"/>
        </w:rPr>
        <w:lastRenderedPageBreak/>
        <w:t>or damage as a result of the false or misleading statement in or omission from the pr</w:t>
      </w:r>
      <w:r>
        <w:rPr>
          <w:color w:val="000000"/>
          <w:shd w:val="clear" w:color="auto" w:fill="FFFFFF"/>
        </w:rPr>
        <w:t xml:space="preserve">ospectus, even if such persons </w:t>
      </w:r>
      <w:r w:rsidRPr="001969D1">
        <w:rPr>
          <w:color w:val="000000"/>
          <w:shd w:val="clear" w:color="auto" w:fill="FFFFFF"/>
        </w:rPr>
        <w:t>were not involved in the making of the false or misleading statement or the omission.</w:t>
      </w:r>
    </w:p>
    <w:p w:rsidR="005F4344" w:rsidRPr="001969D1" w:rsidRDefault="005F4344" w:rsidP="005F4344">
      <w:pPr>
        <w:ind w:left="426" w:right="72"/>
        <w:jc w:val="both"/>
        <w:textAlignment w:val="baseline"/>
        <w:rPr>
          <w:rFonts w:eastAsia="Times New Roman"/>
        </w:rPr>
      </w:pPr>
    </w:p>
    <w:p w:rsidR="005F4344" w:rsidRDefault="005F4344" w:rsidP="005F4344">
      <w:pPr>
        <w:ind w:left="426" w:right="72"/>
        <w:jc w:val="both"/>
        <w:textAlignment w:val="baseline"/>
        <w:rPr>
          <w:rFonts w:eastAsia="Times New Roman"/>
        </w:rPr>
      </w:pPr>
      <w:r w:rsidRPr="001969D1">
        <w:rPr>
          <w:rFonts w:eastAsia="Times New Roman"/>
        </w:rPr>
        <w:t xml:space="preserve">Sections 275 and </w:t>
      </w:r>
      <w:r>
        <w:rPr>
          <w:rFonts w:eastAsia="Times New Roman"/>
        </w:rPr>
        <w:t>3</w:t>
      </w:r>
      <w:r w:rsidRPr="001969D1">
        <w:rPr>
          <w:rFonts w:eastAsia="Times New Roman"/>
        </w:rPr>
        <w:t>05 of the SFA are exemptions from th</w:t>
      </w:r>
      <w:r>
        <w:rPr>
          <w:rFonts w:eastAsia="Times New Roman"/>
        </w:rPr>
        <w:t>e</w:t>
      </w:r>
      <w:r w:rsidRPr="001969D1">
        <w:rPr>
          <w:rFonts w:eastAsia="Times New Roman"/>
        </w:rPr>
        <w:t xml:space="preserve"> prospectus registration requirement under the SFA, and exempt </w:t>
      </w:r>
      <w:r>
        <w:rPr>
          <w:rFonts w:eastAsia="Times New Roman"/>
        </w:rPr>
        <w:t>the offeror</w:t>
      </w:r>
      <w:r w:rsidRPr="001969D1">
        <w:rPr>
          <w:rFonts w:eastAsia="Times New Roman"/>
        </w:rPr>
        <w:t xml:space="preserve"> from registering a prospectus when </w:t>
      </w:r>
      <w:r>
        <w:rPr>
          <w:rFonts w:eastAsia="Times New Roman"/>
        </w:rPr>
        <w:t>the</w:t>
      </w:r>
      <w:r w:rsidRPr="001969D1">
        <w:rPr>
          <w:rFonts w:eastAsia="Times New Roman"/>
        </w:rPr>
        <w:t xml:space="preserve"> offer </w:t>
      </w:r>
      <w:r>
        <w:rPr>
          <w:rFonts w:eastAsia="Times New Roman"/>
        </w:rPr>
        <w:t>of securities and securities-based derivatives contracts, and</w:t>
      </w:r>
      <w:r w:rsidRPr="001969D1">
        <w:rPr>
          <w:rFonts w:eastAsia="Times New Roman"/>
        </w:rPr>
        <w:t xml:space="preserve"> units of collective investment schemes </w:t>
      </w:r>
      <w:r>
        <w:rPr>
          <w:rFonts w:eastAsia="Times New Roman"/>
        </w:rPr>
        <w:t xml:space="preserve">is made </w:t>
      </w:r>
      <w:r w:rsidRPr="001969D1">
        <w:rPr>
          <w:rFonts w:eastAsia="Times New Roman"/>
        </w:rPr>
        <w:t xml:space="preserve">to </w:t>
      </w:r>
      <w:r>
        <w:rPr>
          <w:rFonts w:eastAsia="Times New Roman"/>
        </w:rPr>
        <w:t xml:space="preserve">relevant persons. Relevant persons include </w:t>
      </w:r>
      <w:r w:rsidRPr="001969D1">
        <w:rPr>
          <w:rFonts w:eastAsia="Times New Roman"/>
        </w:rPr>
        <w:t>accredited investors.</w:t>
      </w:r>
      <w:r>
        <w:rPr>
          <w:rFonts w:eastAsia="Times New Roman"/>
        </w:rPr>
        <w:t xml:space="preserve"> In addition, secondary sales made to institutional investors and relevant persons, </w:t>
      </w:r>
      <w:proofErr w:type="gramStart"/>
      <w:r>
        <w:rPr>
          <w:rFonts w:eastAsia="Times New Roman"/>
        </w:rPr>
        <w:t>which</w:t>
      </w:r>
      <w:proofErr w:type="gramEnd"/>
      <w:r>
        <w:rPr>
          <w:rFonts w:eastAsia="Times New Roman"/>
        </w:rPr>
        <w:t xml:space="preserve"> include accredited investors, remain exempt from the prospectus registration requirement provided that certain requirements are met.</w:t>
      </w:r>
    </w:p>
    <w:p w:rsidR="005F4344" w:rsidRDefault="005F4344" w:rsidP="005F4344">
      <w:pPr>
        <w:ind w:left="426" w:right="72"/>
        <w:jc w:val="both"/>
        <w:textAlignment w:val="baseline"/>
        <w:rPr>
          <w:rFonts w:eastAsia="Times New Roman"/>
        </w:rPr>
      </w:pPr>
    </w:p>
    <w:p w:rsidR="005F4344" w:rsidRDefault="005F4344" w:rsidP="005F4344">
      <w:pPr>
        <w:ind w:left="426" w:right="72"/>
        <w:jc w:val="both"/>
        <w:textAlignment w:val="baseline"/>
        <w:rPr>
          <w:rFonts w:eastAsia="Times New Roman"/>
        </w:rPr>
      </w:pPr>
      <w:r>
        <w:rPr>
          <w:rFonts w:eastAsia="Times New Roman"/>
          <w:b/>
        </w:rPr>
        <w:t xml:space="preserve">Subsequent Sales: </w:t>
      </w:r>
      <w:r>
        <w:rPr>
          <w:rFonts w:eastAsia="Times New Roman"/>
        </w:rPr>
        <w:t>Subsequent sales of securities, securities-based derivatives contracts and collective investment schemes are subject to restrictions under Section 276(1) and 276(2) or, as the case may be, Sections 305A(1)(b) such that subsequent sales to relevant persons (including accredited investors) will continue to be exempt from prospectus requirements.</w:t>
      </w:r>
    </w:p>
    <w:p w:rsidR="005F4344" w:rsidRDefault="005F4344" w:rsidP="005F4344">
      <w:pPr>
        <w:ind w:left="426" w:right="72"/>
        <w:jc w:val="both"/>
        <w:textAlignment w:val="baseline"/>
        <w:rPr>
          <w:rFonts w:eastAsia="Times New Roman"/>
        </w:rPr>
      </w:pPr>
    </w:p>
    <w:p w:rsidR="005F4344" w:rsidRPr="00CC377B" w:rsidRDefault="005F4344" w:rsidP="005F4344">
      <w:pPr>
        <w:ind w:left="450"/>
        <w:jc w:val="both"/>
        <w:rPr>
          <w:rFonts w:eastAsia="Times New Roman"/>
        </w:rPr>
      </w:pPr>
      <w:r w:rsidRPr="009C0179">
        <w:rPr>
          <w:rStyle w:val="s4"/>
          <w:rFonts w:eastAsia="Times New Roman"/>
          <w:iCs/>
        </w:rPr>
        <w:t>Where</w:t>
      </w:r>
      <w:r>
        <w:rPr>
          <w:rStyle w:val="s4"/>
          <w:rFonts w:eastAsia="Times New Roman"/>
          <w:iCs/>
        </w:rPr>
        <w:t xml:space="preserve"> s</w:t>
      </w:r>
      <w:r w:rsidRPr="009C0179">
        <w:rPr>
          <w:rStyle w:val="s4"/>
          <w:rFonts w:eastAsia="Times New Roman"/>
          <w:iCs/>
        </w:rPr>
        <w:t>ecurities</w:t>
      </w:r>
      <w:r>
        <w:rPr>
          <w:rStyle w:val="s4"/>
          <w:rFonts w:eastAsia="Times New Roman"/>
          <w:iCs/>
        </w:rPr>
        <w:t>, s</w:t>
      </w:r>
      <w:r w:rsidRPr="009C0179">
        <w:rPr>
          <w:rStyle w:val="s4"/>
          <w:rFonts w:eastAsia="Times New Roman"/>
          <w:iCs/>
        </w:rPr>
        <w:t xml:space="preserve">ecurities-based </w:t>
      </w:r>
      <w:r>
        <w:rPr>
          <w:rStyle w:val="s4"/>
          <w:rFonts w:eastAsia="Times New Roman"/>
          <w:iCs/>
        </w:rPr>
        <w:t>d</w:t>
      </w:r>
      <w:r w:rsidRPr="009C0179">
        <w:rPr>
          <w:rStyle w:val="s4"/>
          <w:rFonts w:eastAsia="Times New Roman"/>
          <w:iCs/>
        </w:rPr>
        <w:t xml:space="preserve">erivatives </w:t>
      </w:r>
      <w:r>
        <w:rPr>
          <w:rStyle w:val="s4"/>
          <w:rFonts w:eastAsia="Times New Roman"/>
          <w:iCs/>
        </w:rPr>
        <w:t>c</w:t>
      </w:r>
      <w:r w:rsidRPr="009C0179">
        <w:rPr>
          <w:rStyle w:val="s4"/>
          <w:rFonts w:eastAsia="Times New Roman"/>
          <w:iCs/>
        </w:rPr>
        <w:t>ontracts</w:t>
      </w:r>
      <w:r>
        <w:rPr>
          <w:rStyle w:val="s4"/>
          <w:rFonts w:eastAsia="Times New Roman"/>
          <w:iCs/>
        </w:rPr>
        <w:t xml:space="preserve"> and</w:t>
      </w:r>
      <w:r w:rsidRPr="009C0179">
        <w:rPr>
          <w:rStyle w:val="s4"/>
          <w:rFonts w:eastAsia="Times New Roman"/>
          <w:iCs/>
        </w:rPr>
        <w:t xml:space="preserve"> </w:t>
      </w:r>
      <w:r>
        <w:rPr>
          <w:rStyle w:val="s4"/>
          <w:rFonts w:eastAsia="Times New Roman"/>
          <w:iCs/>
        </w:rPr>
        <w:t>c</w:t>
      </w:r>
      <w:r w:rsidRPr="009C0179">
        <w:rPr>
          <w:rStyle w:val="s4"/>
          <w:rFonts w:eastAsia="Times New Roman"/>
          <w:iCs/>
        </w:rPr>
        <w:t xml:space="preserve">ollective </w:t>
      </w:r>
      <w:r>
        <w:rPr>
          <w:rStyle w:val="s4"/>
          <w:rFonts w:eastAsia="Times New Roman"/>
          <w:iCs/>
        </w:rPr>
        <w:t>i</w:t>
      </w:r>
      <w:r w:rsidRPr="009C0179">
        <w:rPr>
          <w:rStyle w:val="s4"/>
          <w:rFonts w:eastAsia="Times New Roman"/>
          <w:iCs/>
        </w:rPr>
        <w:t xml:space="preserve">nvestment </w:t>
      </w:r>
      <w:r>
        <w:rPr>
          <w:rStyle w:val="s4"/>
          <w:rFonts w:eastAsia="Times New Roman"/>
          <w:iCs/>
        </w:rPr>
        <w:t>s</w:t>
      </w:r>
      <w:r w:rsidRPr="009C0179">
        <w:rPr>
          <w:rStyle w:val="s4"/>
          <w:rFonts w:eastAsia="Times New Roman"/>
          <w:iCs/>
        </w:rPr>
        <w:t>chemes</w:t>
      </w:r>
      <w:r>
        <w:rPr>
          <w:rStyle w:val="s4"/>
          <w:rFonts w:eastAsia="Times New Roman"/>
          <w:iCs/>
        </w:rPr>
        <w:t xml:space="preserve"> </w:t>
      </w:r>
      <w:r w:rsidRPr="009C0179">
        <w:rPr>
          <w:rStyle w:val="s4"/>
          <w:rFonts w:eastAsia="Times New Roman"/>
          <w:iCs/>
        </w:rPr>
        <w:t>are subscribed or purchased under Section 275 or 305 of the SFA by a relevant person which is:</w:t>
      </w:r>
    </w:p>
    <w:p w:rsidR="005F4344" w:rsidRDefault="005F4344" w:rsidP="005F4344">
      <w:pPr>
        <w:ind w:left="450"/>
        <w:jc w:val="both"/>
        <w:rPr>
          <w:rStyle w:val="s4"/>
          <w:rFonts w:eastAsia="Times New Roman"/>
          <w:iCs/>
        </w:rPr>
      </w:pPr>
    </w:p>
    <w:p w:rsidR="005F4344" w:rsidRPr="00CC377B" w:rsidRDefault="005F4344" w:rsidP="005F4344">
      <w:pPr>
        <w:ind w:left="1166" w:hanging="720"/>
        <w:jc w:val="both"/>
        <w:rPr>
          <w:rStyle w:val="s4"/>
          <w:rFonts w:eastAsiaTheme="minorHAnsi"/>
        </w:rPr>
      </w:pPr>
      <w:r w:rsidRPr="009C0179">
        <w:rPr>
          <w:rStyle w:val="s4"/>
          <w:rFonts w:eastAsia="Times New Roman"/>
          <w:iCs/>
        </w:rPr>
        <w:t>(a)</w:t>
      </w:r>
      <w:r>
        <w:rPr>
          <w:rStyle w:val="s4"/>
          <w:rFonts w:eastAsia="Times New Roman"/>
        </w:rPr>
        <w:tab/>
      </w:r>
      <w:r w:rsidRPr="009C0179">
        <w:rPr>
          <w:rStyle w:val="s4"/>
          <w:rFonts w:eastAsia="Times New Roman"/>
          <w:iCs/>
        </w:rPr>
        <w:t>a corporation (which is not an accredited investor) the sole business of which is to hold investments and the entire share capital of which is owned by one or more individuals, each of whom is an accredited investor (the “</w:t>
      </w:r>
      <w:r w:rsidRPr="006D1DA4">
        <w:rPr>
          <w:rStyle w:val="s4"/>
          <w:rFonts w:eastAsia="Times New Roman"/>
          <w:b/>
          <w:iCs/>
        </w:rPr>
        <w:t>Corporation</w:t>
      </w:r>
      <w:r w:rsidRPr="009C0179">
        <w:rPr>
          <w:rStyle w:val="s4"/>
          <w:rFonts w:eastAsia="Times New Roman"/>
          <w:iCs/>
        </w:rPr>
        <w:t>”); or</w:t>
      </w:r>
    </w:p>
    <w:p w:rsidR="005F4344" w:rsidRDefault="005F4344" w:rsidP="005F4344">
      <w:pPr>
        <w:ind w:left="1166" w:hanging="720"/>
        <w:jc w:val="both"/>
        <w:rPr>
          <w:rStyle w:val="s4"/>
          <w:rFonts w:eastAsia="Times New Roman"/>
          <w:iCs/>
        </w:rPr>
      </w:pPr>
    </w:p>
    <w:p w:rsidR="005F4344" w:rsidRPr="00CC377B" w:rsidRDefault="005F4344" w:rsidP="005F4344">
      <w:pPr>
        <w:ind w:left="1166" w:hanging="720"/>
        <w:jc w:val="both"/>
        <w:rPr>
          <w:rStyle w:val="s4"/>
        </w:rPr>
      </w:pPr>
      <w:r w:rsidRPr="009C0179">
        <w:rPr>
          <w:rStyle w:val="s4"/>
          <w:rFonts w:eastAsia="Times New Roman"/>
          <w:iCs/>
        </w:rPr>
        <w:t>(b)</w:t>
      </w:r>
      <w:r>
        <w:rPr>
          <w:rStyle w:val="s4"/>
          <w:rFonts w:eastAsia="Times New Roman"/>
        </w:rPr>
        <w:tab/>
      </w:r>
      <w:proofErr w:type="gramStart"/>
      <w:r w:rsidRPr="009C0179">
        <w:rPr>
          <w:rStyle w:val="s4"/>
          <w:rFonts w:eastAsia="Times New Roman"/>
          <w:iCs/>
        </w:rPr>
        <w:t>a</w:t>
      </w:r>
      <w:proofErr w:type="gramEnd"/>
      <w:r w:rsidRPr="009C0179">
        <w:rPr>
          <w:rStyle w:val="s4"/>
          <w:rFonts w:eastAsia="Times New Roman"/>
          <w:iCs/>
        </w:rPr>
        <w:t xml:space="preserve"> trust (where the trustee is not an accredited investor) whose sole purpose is to hold investments and each beneficiary of the trust is an individual who is an accredited investor (</w:t>
      </w:r>
      <w:r>
        <w:rPr>
          <w:rStyle w:val="s4"/>
          <w:rFonts w:eastAsia="Times New Roman"/>
          <w:iCs/>
        </w:rPr>
        <w:t xml:space="preserve">the </w:t>
      </w:r>
      <w:r w:rsidRPr="009C0179">
        <w:rPr>
          <w:rStyle w:val="s4"/>
          <w:rFonts w:eastAsia="Times New Roman"/>
          <w:iCs/>
        </w:rPr>
        <w:t>“</w:t>
      </w:r>
      <w:r w:rsidRPr="006D1DA4">
        <w:rPr>
          <w:rStyle w:val="s4"/>
          <w:rFonts w:eastAsia="Times New Roman"/>
          <w:b/>
          <w:iCs/>
        </w:rPr>
        <w:t>Trust</w:t>
      </w:r>
      <w:r w:rsidRPr="009C0179">
        <w:rPr>
          <w:rStyle w:val="s4"/>
          <w:rFonts w:eastAsia="Times New Roman"/>
          <w:iCs/>
        </w:rPr>
        <w:t>”),</w:t>
      </w:r>
    </w:p>
    <w:p w:rsidR="005F4344" w:rsidRDefault="005F4344" w:rsidP="005F4344">
      <w:pPr>
        <w:ind w:left="450"/>
        <w:jc w:val="both"/>
        <w:rPr>
          <w:rStyle w:val="s4"/>
          <w:rFonts w:eastAsia="Times New Roman"/>
          <w:iCs/>
        </w:rPr>
      </w:pPr>
    </w:p>
    <w:p w:rsidR="005F4344" w:rsidRPr="00CC377B" w:rsidRDefault="005F4344" w:rsidP="005F4344">
      <w:pPr>
        <w:ind w:left="450"/>
        <w:jc w:val="both"/>
        <w:rPr>
          <w:rFonts w:eastAsia="Times New Roman"/>
        </w:rPr>
      </w:pPr>
      <w:r w:rsidRPr="006D1DA4">
        <w:rPr>
          <w:rStyle w:val="s4"/>
          <w:rFonts w:eastAsia="Times New Roman"/>
          <w:i/>
          <w:iCs/>
        </w:rPr>
        <w:t>inter alia</w:t>
      </w:r>
      <w:r w:rsidRPr="009C0179">
        <w:rPr>
          <w:rStyle w:val="s4"/>
          <w:rFonts w:eastAsia="Times New Roman"/>
          <w:iCs/>
        </w:rPr>
        <w:t>, securities of that corporation or the beneficiaries’ rights and interest (howsoever described) in that trust shall not be transferred within six months after that corporation or that trust has acquired the</w:t>
      </w:r>
      <w:r>
        <w:rPr>
          <w:rStyle w:val="s4"/>
          <w:rFonts w:eastAsia="Times New Roman"/>
          <w:iCs/>
        </w:rPr>
        <w:t xml:space="preserve"> s</w:t>
      </w:r>
      <w:r w:rsidRPr="009C0179">
        <w:rPr>
          <w:rStyle w:val="s4"/>
          <w:rFonts w:eastAsia="Times New Roman"/>
          <w:iCs/>
        </w:rPr>
        <w:t>ecurities</w:t>
      </w:r>
      <w:r>
        <w:rPr>
          <w:rStyle w:val="s4"/>
          <w:rFonts w:eastAsia="Times New Roman"/>
          <w:iCs/>
        </w:rPr>
        <w:t>, s</w:t>
      </w:r>
      <w:r w:rsidRPr="009C0179">
        <w:rPr>
          <w:rStyle w:val="s4"/>
          <w:rFonts w:eastAsia="Times New Roman"/>
          <w:iCs/>
        </w:rPr>
        <w:t xml:space="preserve">ecurities-based </w:t>
      </w:r>
      <w:r>
        <w:rPr>
          <w:rStyle w:val="s4"/>
          <w:rFonts w:eastAsia="Times New Roman"/>
          <w:iCs/>
        </w:rPr>
        <w:t>d</w:t>
      </w:r>
      <w:r w:rsidRPr="009C0179">
        <w:rPr>
          <w:rStyle w:val="s4"/>
          <w:rFonts w:eastAsia="Times New Roman"/>
          <w:iCs/>
        </w:rPr>
        <w:t xml:space="preserve">erivatives </w:t>
      </w:r>
      <w:r>
        <w:rPr>
          <w:rStyle w:val="s4"/>
          <w:rFonts w:eastAsia="Times New Roman"/>
          <w:iCs/>
        </w:rPr>
        <w:t>c</w:t>
      </w:r>
      <w:r w:rsidRPr="009C0179">
        <w:rPr>
          <w:rStyle w:val="s4"/>
          <w:rFonts w:eastAsia="Times New Roman"/>
          <w:iCs/>
        </w:rPr>
        <w:t>ontracts</w:t>
      </w:r>
      <w:r>
        <w:rPr>
          <w:rStyle w:val="s4"/>
          <w:rFonts w:eastAsia="Times New Roman"/>
          <w:iCs/>
        </w:rPr>
        <w:t xml:space="preserve"> and </w:t>
      </w:r>
      <w:r w:rsidRPr="009C0179">
        <w:rPr>
          <w:rStyle w:val="s4"/>
          <w:rFonts w:eastAsia="Times New Roman"/>
          <w:iCs/>
        </w:rPr>
        <w:t>collective investment scheme</w:t>
      </w:r>
      <w:r>
        <w:rPr>
          <w:rStyle w:val="s4"/>
          <w:rFonts w:eastAsia="Times New Roman"/>
          <w:iCs/>
        </w:rPr>
        <w:t xml:space="preserve">s </w:t>
      </w:r>
      <w:r w:rsidRPr="009C0179">
        <w:rPr>
          <w:rStyle w:val="s4"/>
          <w:rFonts w:eastAsia="Times New Roman"/>
          <w:iCs/>
        </w:rPr>
        <w:t xml:space="preserve">pursuant to an offer made under Section 275 or 305 of the SFA except, </w:t>
      </w:r>
      <w:r w:rsidRPr="006D1DA4">
        <w:rPr>
          <w:rStyle w:val="s4"/>
          <w:rFonts w:eastAsia="Times New Roman"/>
          <w:i/>
          <w:iCs/>
        </w:rPr>
        <w:t>inter alia</w:t>
      </w:r>
      <w:r w:rsidRPr="009C0179">
        <w:rPr>
          <w:rStyle w:val="s4"/>
          <w:rFonts w:eastAsia="Times New Roman"/>
          <w:iCs/>
        </w:rPr>
        <w:t>,</w:t>
      </w:r>
      <w:r>
        <w:rPr>
          <w:rStyle w:val="s4"/>
          <w:rFonts w:eastAsia="Times New Roman"/>
          <w:iCs/>
        </w:rPr>
        <w:t xml:space="preserve"> </w:t>
      </w:r>
      <w:r w:rsidRPr="009C0179">
        <w:rPr>
          <w:rFonts w:eastAsia="Times New Roman"/>
          <w:iCs/>
        </w:rPr>
        <w:t>to an institutional investor or to a relevant person.</w:t>
      </w:r>
    </w:p>
    <w:p w:rsidR="005F4344" w:rsidRDefault="005F4344" w:rsidP="005F4344">
      <w:pPr>
        <w:ind w:left="450"/>
        <w:jc w:val="both"/>
        <w:rPr>
          <w:rFonts w:eastAsia="Times New Roman"/>
          <w:iCs/>
        </w:rPr>
      </w:pPr>
    </w:p>
    <w:p w:rsidR="005F4344" w:rsidRDefault="005F4344" w:rsidP="005F4344">
      <w:pPr>
        <w:ind w:left="450"/>
        <w:jc w:val="both"/>
        <w:rPr>
          <w:rFonts w:eastAsia="Times New Roman"/>
          <w:iCs/>
        </w:rPr>
      </w:pPr>
      <w:r w:rsidRPr="009C0179">
        <w:rPr>
          <w:rFonts w:eastAsia="Times New Roman"/>
          <w:iCs/>
        </w:rPr>
        <w:t xml:space="preserve">If you opt to be treated as an accredited investor, the above restrictions will </w:t>
      </w:r>
      <w:r>
        <w:rPr>
          <w:rFonts w:eastAsia="Times New Roman"/>
          <w:iCs/>
        </w:rPr>
        <w:t xml:space="preserve">not apply and you will not be </w:t>
      </w:r>
      <w:r w:rsidRPr="009C0179">
        <w:rPr>
          <w:rFonts w:eastAsia="Times New Roman"/>
          <w:iCs/>
        </w:rPr>
        <w:t>prohibit</w:t>
      </w:r>
      <w:r>
        <w:rPr>
          <w:rFonts w:eastAsia="Times New Roman"/>
          <w:iCs/>
        </w:rPr>
        <w:t>ed</w:t>
      </w:r>
      <w:r w:rsidRPr="009C0179">
        <w:rPr>
          <w:rFonts w:eastAsia="Times New Roman"/>
          <w:iCs/>
        </w:rPr>
        <w:t xml:space="preserve"> from being a transferee of the securities of the Corporation or interests in the Trust</w:t>
      </w:r>
      <w:r>
        <w:rPr>
          <w:rFonts w:eastAsia="Times New Roman"/>
          <w:iCs/>
        </w:rPr>
        <w:t xml:space="preserve"> in the circumstances specified</w:t>
      </w:r>
      <w:r w:rsidRPr="009C0179">
        <w:rPr>
          <w:rFonts w:eastAsia="Times New Roman"/>
          <w:iCs/>
        </w:rPr>
        <w:t>.</w:t>
      </w:r>
    </w:p>
    <w:p w:rsidR="005F4344" w:rsidRPr="001969D1" w:rsidRDefault="005F4344" w:rsidP="005F4344">
      <w:pPr>
        <w:ind w:left="426" w:right="72"/>
        <w:jc w:val="both"/>
        <w:textAlignment w:val="baseline"/>
        <w:rPr>
          <w:rFonts w:eastAsia="Times New Roman"/>
          <w:b/>
        </w:rPr>
      </w:pPr>
    </w:p>
    <w:p w:rsidR="005F4344" w:rsidRDefault="005F4344" w:rsidP="005F4344">
      <w:pPr>
        <w:ind w:left="426" w:right="72"/>
        <w:jc w:val="both"/>
        <w:textAlignment w:val="baseline"/>
        <w:rPr>
          <w:rFonts w:eastAsia="Times New Roman"/>
        </w:rPr>
      </w:pPr>
      <w:r>
        <w:rPr>
          <w:rFonts w:eastAsia="Times New Roman"/>
          <w:b/>
          <w:i/>
        </w:rPr>
        <w:t>When we deal with you as an accredited investor, the issuer and/or offeror is exempt from</w:t>
      </w:r>
      <w:r w:rsidRPr="00D65F91">
        <w:rPr>
          <w:rFonts w:eastAsia="Times New Roman"/>
          <w:b/>
          <w:i/>
        </w:rPr>
        <w:t xml:space="preserve"> the prospectus requirement</w:t>
      </w:r>
      <w:r>
        <w:rPr>
          <w:rFonts w:eastAsia="Times New Roman"/>
          <w:b/>
          <w:i/>
        </w:rPr>
        <w:t>s</w:t>
      </w:r>
      <w:r w:rsidRPr="00D65F91">
        <w:rPr>
          <w:rFonts w:eastAsia="Times New Roman"/>
          <w:b/>
          <w:i/>
        </w:rPr>
        <w:t xml:space="preserve"> under</w:t>
      </w:r>
      <w:r>
        <w:rPr>
          <w:rFonts w:eastAsia="Times New Roman"/>
          <w:b/>
          <w:i/>
        </w:rPr>
        <w:t xml:space="preserve"> Part XIII of the SFA pursuant to the exemptions under</w:t>
      </w:r>
      <w:r w:rsidRPr="00D65F91">
        <w:rPr>
          <w:rFonts w:eastAsia="Times New Roman"/>
          <w:b/>
          <w:i/>
        </w:rPr>
        <w:t xml:space="preserve"> </w:t>
      </w:r>
      <w:r>
        <w:rPr>
          <w:rFonts w:eastAsia="Times New Roman"/>
          <w:b/>
          <w:i/>
        </w:rPr>
        <w:t>S</w:t>
      </w:r>
      <w:r w:rsidRPr="00D65F91">
        <w:rPr>
          <w:rFonts w:eastAsia="Times New Roman"/>
          <w:b/>
          <w:i/>
        </w:rPr>
        <w:t>ections 275 and 305 of the SFA</w:t>
      </w:r>
      <w:r>
        <w:rPr>
          <w:rFonts w:eastAsia="Times New Roman"/>
          <w:b/>
          <w:i/>
        </w:rPr>
        <w:t>. As a result of this</w:t>
      </w:r>
      <w:r w:rsidRPr="00D65F91">
        <w:rPr>
          <w:rFonts w:eastAsia="Times New Roman"/>
          <w:b/>
          <w:i/>
        </w:rPr>
        <w:t xml:space="preserve">, </w:t>
      </w:r>
      <w:r>
        <w:rPr>
          <w:rFonts w:eastAsia="Times New Roman"/>
          <w:b/>
          <w:i/>
        </w:rPr>
        <w:t>the issuer and/or offeror is</w:t>
      </w:r>
      <w:r w:rsidRPr="00D65F91">
        <w:rPr>
          <w:rFonts w:eastAsia="Times New Roman"/>
          <w:b/>
          <w:i/>
        </w:rPr>
        <w:t xml:space="preserve"> not under any statutory obligation to ensure that all offers of </w:t>
      </w:r>
      <w:r>
        <w:rPr>
          <w:rFonts w:eastAsia="Times New Roman"/>
          <w:b/>
          <w:i/>
        </w:rPr>
        <w:t>the relevant</w:t>
      </w:r>
      <w:r w:rsidRPr="00D65F91">
        <w:rPr>
          <w:rFonts w:eastAsia="Times New Roman"/>
          <w:b/>
          <w:i/>
        </w:rPr>
        <w:t xml:space="preserve"> products to you are made in or accompanied by a prospectus that is lodged and registered with the MAS and which complies with the prescribed content requirements. </w:t>
      </w:r>
      <w:r>
        <w:rPr>
          <w:rFonts w:eastAsia="Times New Roman"/>
          <w:b/>
          <w:i/>
        </w:rPr>
        <w:t>Consequently</w:t>
      </w:r>
      <w:r w:rsidRPr="00D65F91">
        <w:rPr>
          <w:rFonts w:eastAsia="Times New Roman"/>
          <w:b/>
          <w:i/>
        </w:rPr>
        <w:t xml:space="preserve">, </w:t>
      </w:r>
      <w:r>
        <w:rPr>
          <w:rFonts w:eastAsia="Times New Roman"/>
          <w:b/>
          <w:i/>
        </w:rPr>
        <w:t>the issuer and/or offeror is</w:t>
      </w:r>
      <w:r w:rsidRPr="00D65F91">
        <w:rPr>
          <w:rFonts w:eastAsia="Times New Roman"/>
          <w:b/>
          <w:i/>
        </w:rPr>
        <w:t xml:space="preserve"> not subject to the statutory prospectus liability under the SFA and you would not be able to seek compensation from </w:t>
      </w:r>
      <w:r>
        <w:rPr>
          <w:rFonts w:eastAsia="Times New Roman"/>
          <w:b/>
          <w:i/>
        </w:rPr>
        <w:t>the P</w:t>
      </w:r>
      <w:r w:rsidRPr="00D65F91">
        <w:rPr>
          <w:rFonts w:eastAsia="Times New Roman"/>
          <w:b/>
          <w:i/>
        </w:rPr>
        <w:t xml:space="preserve">ersons under the civil </w:t>
      </w:r>
      <w:r w:rsidRPr="00D65F91">
        <w:rPr>
          <w:rFonts w:eastAsia="Times New Roman"/>
          <w:b/>
          <w:i/>
        </w:rPr>
        <w:lastRenderedPageBreak/>
        <w:t xml:space="preserve">liability regime for prospectuses even if you suffer loss or damage as a result of any false or misleading statement in or omissions in the offering document. </w:t>
      </w:r>
      <w:r>
        <w:rPr>
          <w:rFonts w:eastAsia="Times New Roman"/>
          <w:b/>
          <w:i/>
        </w:rPr>
        <w:t xml:space="preserve">Subsequent sales of securities, securities-based derivative contracts and collective investment schemes first sold under inter alia Section 275 and 305 can also be made to you, as well as transfers of securities of Corporations and interests in Trusts. </w:t>
      </w:r>
      <w:r w:rsidRPr="00D65F91">
        <w:rPr>
          <w:rFonts w:eastAsia="Times New Roman"/>
          <w:b/>
          <w:i/>
        </w:rPr>
        <w:t>You are therefore not protected by the prospectus registration requirement</w:t>
      </w:r>
      <w:r>
        <w:rPr>
          <w:rFonts w:eastAsia="Times New Roman"/>
          <w:b/>
          <w:i/>
        </w:rPr>
        <w:t>s</w:t>
      </w:r>
      <w:r w:rsidRPr="00D65F91">
        <w:rPr>
          <w:rFonts w:eastAsia="Times New Roman"/>
          <w:b/>
          <w:i/>
        </w:rPr>
        <w:t xml:space="preserve"> of the SFA.</w:t>
      </w:r>
    </w:p>
    <w:p w:rsidR="005F4344" w:rsidRDefault="005F4344" w:rsidP="005F4344">
      <w:pPr>
        <w:ind w:left="426" w:right="72"/>
        <w:jc w:val="both"/>
        <w:textAlignment w:val="baseline"/>
        <w:rPr>
          <w:rFonts w:eastAsia="Times New Roman"/>
        </w:rPr>
      </w:pPr>
    </w:p>
    <w:p w:rsidR="005F4344" w:rsidRPr="005D440D" w:rsidRDefault="005F4344" w:rsidP="005F4344">
      <w:pPr>
        <w:pStyle w:val="ListParagraph"/>
        <w:numPr>
          <w:ilvl w:val="0"/>
          <w:numId w:val="17"/>
        </w:numPr>
        <w:ind w:right="72"/>
        <w:jc w:val="both"/>
        <w:textAlignment w:val="baseline"/>
        <w:rPr>
          <w:rFonts w:eastAsia="Times New Roman"/>
        </w:rPr>
      </w:pPr>
      <w:r w:rsidRPr="005D440D">
        <w:rPr>
          <w:rFonts w:eastAsia="Times New Roman"/>
          <w:b/>
        </w:rPr>
        <w:t xml:space="preserve">Restrictions on </w:t>
      </w:r>
      <w:r w:rsidRPr="006D1DA4">
        <w:rPr>
          <w:rFonts w:eastAsia="Times New Roman"/>
          <w:b/>
        </w:rPr>
        <w:t>Advertisements under</w:t>
      </w:r>
      <w:r>
        <w:rPr>
          <w:rFonts w:eastAsia="Times New Roman"/>
        </w:rPr>
        <w:t xml:space="preserve"> </w:t>
      </w:r>
      <w:r w:rsidRPr="00393372">
        <w:rPr>
          <w:rFonts w:eastAsia="Times New Roman"/>
          <w:b/>
        </w:rPr>
        <w:t>Sections 251 and 300 of the SFA</w:t>
      </w:r>
      <w:r>
        <w:rPr>
          <w:rFonts w:eastAsia="Times New Roman"/>
          <w:b/>
        </w:rPr>
        <w:t>.</w:t>
      </w:r>
      <w:r w:rsidRPr="005D440D">
        <w:rPr>
          <w:rFonts w:eastAsia="Times New Roman"/>
        </w:rPr>
        <w:t xml:space="preserve"> Sections 251 and 300 of the SFA prohibit any</w:t>
      </w:r>
      <w:r w:rsidRPr="005D440D">
        <w:rPr>
          <w:rFonts w:cs="Arial"/>
        </w:rPr>
        <w:t xml:space="preserve"> advertisement or publication referring to an offer or intended offer of securities and securities-based derivatives contracts, and units of collective investment schemes from being made, except in certain circumstances. In this regard, where a preliminary document has been lodged with the MAS, certain communications may be made. These include the dissemination of, and presentation of oral or written material on matters contained in, the preliminary document which has been lodged with the MAS to institutional investors and relevant persons under Sections 251(3), 251(4)(a), 300(2A) and 300(2B)(a) of the SFA. Relevant persons include accredited investors.</w:t>
      </w:r>
    </w:p>
    <w:p w:rsidR="005F4344" w:rsidRPr="006D1DA4" w:rsidRDefault="005F4344" w:rsidP="005F4344">
      <w:pPr>
        <w:ind w:left="90" w:right="72"/>
        <w:jc w:val="both"/>
        <w:textAlignment w:val="baseline"/>
        <w:rPr>
          <w:rFonts w:eastAsia="Times New Roman"/>
        </w:rPr>
      </w:pPr>
    </w:p>
    <w:p w:rsidR="005F4344" w:rsidRPr="006D1DA4" w:rsidRDefault="005F4344" w:rsidP="005F4344">
      <w:pPr>
        <w:ind w:left="450" w:right="72"/>
        <w:jc w:val="both"/>
        <w:textAlignment w:val="baseline"/>
        <w:rPr>
          <w:rFonts w:eastAsia="Times New Roman"/>
        </w:rPr>
      </w:pPr>
      <w:r w:rsidRPr="006D1DA4">
        <w:rPr>
          <w:rFonts w:eastAsia="Times New Roman"/>
          <w:b/>
          <w:i/>
        </w:rPr>
        <w:t>When we deal with you as an accredited investor, you may receive communications relating to a preliminary document which has been lodged with the MAS. You are therefore not protected by the</w:t>
      </w:r>
      <w:r w:rsidRPr="006D1DA4">
        <w:rPr>
          <w:rFonts w:cs="Arial"/>
          <w:b/>
          <w:i/>
        </w:rPr>
        <w:t xml:space="preserve"> requirements of Sections 251 and 300 of the SFA</w:t>
      </w:r>
      <w:r w:rsidRPr="006D1DA4">
        <w:rPr>
          <w:rFonts w:eastAsia="Times New Roman"/>
          <w:b/>
          <w:i/>
        </w:rPr>
        <w:t>.</w:t>
      </w:r>
    </w:p>
    <w:p w:rsidR="005F4344" w:rsidRPr="006D1DA4" w:rsidRDefault="005F4344" w:rsidP="005F4344"/>
    <w:p w:rsidR="005F4344" w:rsidRDefault="005F4344" w:rsidP="005F4344">
      <w:pPr>
        <w:pStyle w:val="ListParagraph"/>
        <w:numPr>
          <w:ilvl w:val="0"/>
          <w:numId w:val="17"/>
        </w:numPr>
        <w:jc w:val="both"/>
        <w:rPr>
          <w:rFonts w:cs="Arial"/>
        </w:rPr>
      </w:pPr>
      <w:r>
        <w:rPr>
          <w:rFonts w:eastAsia="Times New Roman" w:cs="Arial"/>
          <w:b/>
        </w:rPr>
        <w:t>Part III of the Securities and Futures (Licensing and Conduct of Business) Regulations (“SFR”).</w:t>
      </w:r>
    </w:p>
    <w:p w:rsidR="005F4344" w:rsidRDefault="005F4344" w:rsidP="005F4344">
      <w:pPr>
        <w:pStyle w:val="ListParagraph"/>
        <w:ind w:left="450"/>
        <w:jc w:val="both"/>
        <w:rPr>
          <w:rFonts w:eastAsia="Times New Roman" w:cs="Arial"/>
          <w:b/>
        </w:rPr>
      </w:pPr>
    </w:p>
    <w:p w:rsidR="005F4344" w:rsidRDefault="005F4344" w:rsidP="005F4344">
      <w:pPr>
        <w:pStyle w:val="ListParagraph"/>
        <w:ind w:left="450"/>
        <w:jc w:val="both"/>
        <w:rPr>
          <w:rFonts w:cs="Arial"/>
        </w:rPr>
      </w:pPr>
      <w:r>
        <w:rPr>
          <w:rFonts w:eastAsia="Times New Roman" w:cs="Arial"/>
        </w:rPr>
        <w:t xml:space="preserve"> </w:t>
      </w:r>
      <w:r>
        <w:rPr>
          <w:rFonts w:cs="Arial"/>
        </w:rPr>
        <w:t xml:space="preserve">Part III of the SFR stipulates the requirements imposed on us in relation to the treatment of customers’ moneys and assets. While </w:t>
      </w:r>
      <w:r w:rsidRPr="00292D46">
        <w:rPr>
          <w:rFonts w:cs="Arial"/>
        </w:rPr>
        <w:t>we remain under the statutory obligation to deposit all mon</w:t>
      </w:r>
      <w:r>
        <w:rPr>
          <w:rFonts w:cs="Arial"/>
        </w:rPr>
        <w:t>eys</w:t>
      </w:r>
      <w:r w:rsidRPr="00292D46">
        <w:rPr>
          <w:rFonts w:cs="Arial"/>
        </w:rPr>
        <w:t xml:space="preserve"> and assets received on your account in a trust account or custody account maintained in accordance with Regulation</w:t>
      </w:r>
      <w:r>
        <w:rPr>
          <w:rFonts w:cs="Arial"/>
        </w:rPr>
        <w:t>s</w:t>
      </w:r>
      <w:r w:rsidRPr="00292D46">
        <w:rPr>
          <w:rFonts w:cs="Arial"/>
        </w:rPr>
        <w:t xml:space="preserve"> 17 and </w:t>
      </w:r>
      <w:r>
        <w:rPr>
          <w:rFonts w:cs="Arial"/>
        </w:rPr>
        <w:t xml:space="preserve">27 </w:t>
      </w:r>
      <w:r w:rsidRPr="00292D46">
        <w:rPr>
          <w:rFonts w:cs="Arial"/>
        </w:rPr>
        <w:t xml:space="preserve">of the SFR (respectively) or any other account into which you direct the </w:t>
      </w:r>
      <w:r w:rsidRPr="00D70EDA">
        <w:rPr>
          <w:rFonts w:cs="Arial"/>
        </w:rPr>
        <w:t xml:space="preserve">moneys </w:t>
      </w:r>
      <w:r>
        <w:rPr>
          <w:rFonts w:cs="Arial"/>
        </w:rPr>
        <w:t xml:space="preserve">or assets </w:t>
      </w:r>
      <w:r w:rsidRPr="00292D46">
        <w:rPr>
          <w:rFonts w:cs="Arial"/>
        </w:rPr>
        <w:t>be deposited</w:t>
      </w:r>
      <w:r>
        <w:rPr>
          <w:rFonts w:cs="Arial"/>
        </w:rPr>
        <w:t xml:space="preserve">, as an accredited investor, the enhanced safeguards in relation to the moneys that we receive from or on your account (in particular in relation to </w:t>
      </w:r>
      <w:r w:rsidRPr="00292D46">
        <w:rPr>
          <w:rFonts w:cs="Arial"/>
        </w:rPr>
        <w:t xml:space="preserve">over-the-counter </w:t>
      </w:r>
      <w:r>
        <w:rPr>
          <w:rFonts w:cs="Arial"/>
        </w:rPr>
        <w:t>(“</w:t>
      </w:r>
      <w:r w:rsidRPr="006D1DA4">
        <w:rPr>
          <w:rFonts w:cs="Arial"/>
          <w:b/>
        </w:rPr>
        <w:t>OTC</w:t>
      </w:r>
      <w:r>
        <w:rPr>
          <w:rFonts w:cs="Arial"/>
        </w:rPr>
        <w:t>”) derivatives transactions) will not apply.</w:t>
      </w:r>
    </w:p>
    <w:p w:rsidR="005F4344" w:rsidRDefault="005F4344" w:rsidP="005F4344">
      <w:pPr>
        <w:pStyle w:val="ListParagraph"/>
        <w:ind w:left="450"/>
        <w:jc w:val="both"/>
        <w:rPr>
          <w:rFonts w:cs="Arial"/>
        </w:rPr>
      </w:pPr>
    </w:p>
    <w:p w:rsidR="005F4344" w:rsidRDefault="005F4344" w:rsidP="005F4344">
      <w:pPr>
        <w:pStyle w:val="ListParagraph"/>
        <w:ind w:left="450"/>
        <w:jc w:val="both"/>
        <w:rPr>
          <w:rFonts w:cs="Arial"/>
        </w:rPr>
      </w:pPr>
      <w:r w:rsidRPr="00292D46">
        <w:rPr>
          <w:rFonts w:cs="Arial"/>
        </w:rPr>
        <w:t xml:space="preserve">We may also deposit </w:t>
      </w:r>
      <w:r>
        <w:rPr>
          <w:rFonts w:cs="Arial"/>
        </w:rPr>
        <w:t xml:space="preserve">moneys </w:t>
      </w:r>
      <w:r w:rsidRPr="00292D46">
        <w:rPr>
          <w:rFonts w:cs="Arial"/>
        </w:rPr>
        <w:t xml:space="preserve">received on your account, including </w:t>
      </w:r>
      <w:r>
        <w:rPr>
          <w:rFonts w:cs="Arial"/>
        </w:rPr>
        <w:t xml:space="preserve">moneys </w:t>
      </w:r>
      <w:r w:rsidRPr="00292D46">
        <w:rPr>
          <w:rFonts w:cs="Arial"/>
        </w:rPr>
        <w:t xml:space="preserve">received in respect of </w:t>
      </w:r>
      <w:r>
        <w:rPr>
          <w:rFonts w:cs="Arial"/>
        </w:rPr>
        <w:t>OTC</w:t>
      </w:r>
      <w:r w:rsidRPr="00292D46">
        <w:rPr>
          <w:rFonts w:cs="Arial"/>
        </w:rPr>
        <w:t xml:space="preserve"> derivatives contracts, with an approved clearing house, a recognised clearing house, a member of an organised market or a member of </w:t>
      </w:r>
      <w:r w:rsidR="00E93C13">
        <w:rPr>
          <w:rFonts w:cs="Arial"/>
        </w:rPr>
        <w:t>a</w:t>
      </w:r>
      <w:r w:rsidR="00E93C13" w:rsidRPr="00292D46">
        <w:rPr>
          <w:rFonts w:cs="Arial"/>
        </w:rPr>
        <w:t xml:space="preserve"> </w:t>
      </w:r>
      <w:r w:rsidRPr="00292D46">
        <w:rPr>
          <w:rFonts w:cs="Arial"/>
        </w:rPr>
        <w:t>clearing facility for the purposes of facilitating transactions on those clearing facilities or organised markets (as the case may be) on your behalf or for any other purposes as the rules that such clearing facilities or organised markets may specify (as the case may be).</w:t>
      </w:r>
    </w:p>
    <w:p w:rsidR="005F4344" w:rsidRDefault="005F4344" w:rsidP="005F4344">
      <w:pPr>
        <w:pStyle w:val="ListParagraph"/>
        <w:ind w:left="450"/>
        <w:jc w:val="both"/>
        <w:rPr>
          <w:rFonts w:eastAsia="Times New Roman" w:cs="Arial"/>
        </w:rPr>
      </w:pPr>
    </w:p>
    <w:p w:rsidR="005F4344" w:rsidRDefault="005F4344" w:rsidP="005F4344">
      <w:pPr>
        <w:pStyle w:val="ListParagraph"/>
        <w:ind w:left="450"/>
        <w:jc w:val="both"/>
        <w:rPr>
          <w:rFonts w:cs="Arial"/>
        </w:rPr>
      </w:pPr>
      <w:r>
        <w:rPr>
          <w:rFonts w:eastAsia="Times New Roman" w:cs="Arial"/>
        </w:rPr>
        <w:t>We are also</w:t>
      </w:r>
      <w:r w:rsidRPr="00752E6F">
        <w:rPr>
          <w:rFonts w:cs="Arial"/>
          <w:b/>
          <w:i/>
        </w:rPr>
        <w:t xml:space="preserve"> </w:t>
      </w:r>
      <w:r w:rsidRPr="00D65F91">
        <w:rPr>
          <w:rFonts w:cs="Arial"/>
        </w:rPr>
        <w:t>exempt from the following statutory obligations: (</w:t>
      </w:r>
      <w:proofErr w:type="spellStart"/>
      <w:r w:rsidRPr="00D65F91">
        <w:rPr>
          <w:rFonts w:cs="Arial"/>
        </w:rPr>
        <w:t>i</w:t>
      </w:r>
      <w:proofErr w:type="spellEnd"/>
      <w:r w:rsidRPr="00D65F91">
        <w:rPr>
          <w:rFonts w:cs="Arial"/>
        </w:rPr>
        <w:t>) the disclosure requirements pertaining to the manner in which your mon</w:t>
      </w:r>
      <w:r>
        <w:rPr>
          <w:rFonts w:cs="Arial"/>
        </w:rPr>
        <w:t>eys</w:t>
      </w:r>
      <w:r w:rsidRPr="00D65F91">
        <w:rPr>
          <w:rFonts w:cs="Arial"/>
        </w:rPr>
        <w:t xml:space="preserve"> and assets are held (whether locally or in a foreign jurisdiction), as specified under Regulation</w:t>
      </w:r>
      <w:r>
        <w:rPr>
          <w:rFonts w:cs="Arial"/>
        </w:rPr>
        <w:t>s</w:t>
      </w:r>
      <w:r w:rsidRPr="00D65F91">
        <w:rPr>
          <w:rFonts w:cs="Arial"/>
        </w:rPr>
        <w:t xml:space="preserve"> 18A and 27A of the SFR (respectively); (ii) the prohibition against </w:t>
      </w:r>
      <w:r>
        <w:rPr>
          <w:rFonts w:cs="Arial"/>
        </w:rPr>
        <w:t xml:space="preserve">transferring title in your moneys or assets to us or any other person except in certain prescribed circumstances relating to the borrowing </w:t>
      </w:r>
      <w:r w:rsidR="00ED1E98">
        <w:rPr>
          <w:rFonts w:cs="Arial"/>
        </w:rPr>
        <w:t>or</w:t>
      </w:r>
      <w:r>
        <w:rPr>
          <w:rFonts w:cs="Arial"/>
        </w:rPr>
        <w:t xml:space="preserve"> lending of your specified products</w:t>
      </w:r>
      <w:r w:rsidR="00395D50">
        <w:rPr>
          <w:rFonts w:cs="Arial"/>
        </w:rPr>
        <w:t>,</w:t>
      </w:r>
      <w:r>
        <w:rPr>
          <w:rFonts w:cs="Arial"/>
        </w:rPr>
        <w:t xml:space="preserve"> and</w:t>
      </w:r>
      <w:r w:rsidRPr="00D65F91" w:rsidDel="00C571AC">
        <w:rPr>
          <w:rFonts w:cs="Arial"/>
        </w:rPr>
        <w:t xml:space="preserve"> </w:t>
      </w:r>
      <w:r w:rsidRPr="00D65F91">
        <w:rPr>
          <w:rFonts w:cs="Arial"/>
        </w:rPr>
        <w:t>using your mon</w:t>
      </w:r>
      <w:r>
        <w:rPr>
          <w:rFonts w:cs="Arial"/>
        </w:rPr>
        <w:t>eys</w:t>
      </w:r>
      <w:r w:rsidRPr="00D65F91">
        <w:rPr>
          <w:rFonts w:cs="Arial"/>
        </w:rPr>
        <w:t xml:space="preserve"> or assets </w:t>
      </w:r>
      <w:r>
        <w:rPr>
          <w:rFonts w:cs="Arial"/>
        </w:rPr>
        <w:t>to meet our own obligations</w:t>
      </w:r>
      <w:r w:rsidRPr="005C1CAD">
        <w:rPr>
          <w:rFonts w:cs="Arial"/>
        </w:rPr>
        <w:t xml:space="preserve"> </w:t>
      </w:r>
      <w:r>
        <w:rPr>
          <w:rFonts w:cs="Arial"/>
        </w:rPr>
        <w:t>under Regulation 20A and 34A</w:t>
      </w:r>
      <w:r w:rsidR="00E93C13">
        <w:rPr>
          <w:rFonts w:cs="Arial"/>
        </w:rPr>
        <w:t>, and 35</w:t>
      </w:r>
      <w:r>
        <w:rPr>
          <w:rFonts w:cs="Arial"/>
        </w:rPr>
        <w:t xml:space="preserve"> of the SFR (respectively)</w:t>
      </w:r>
      <w:r w:rsidRPr="00D65F91">
        <w:rPr>
          <w:rFonts w:cs="Arial"/>
        </w:rPr>
        <w:t xml:space="preserve">; (iii) the obligation to </w:t>
      </w:r>
      <w:r>
        <w:rPr>
          <w:rFonts w:cs="Arial"/>
        </w:rPr>
        <w:t xml:space="preserve">inform you that we may use </w:t>
      </w:r>
      <w:r>
        <w:rPr>
          <w:rFonts w:cs="Arial"/>
        </w:rPr>
        <w:lastRenderedPageBreak/>
        <w:t>your assets for a sum not exceeding the amount owed by you to us, disclose the risks of such use to you</w:t>
      </w:r>
      <w:r w:rsidRPr="00D65F91">
        <w:rPr>
          <w:rFonts w:cs="Arial"/>
        </w:rPr>
        <w:t xml:space="preserve"> and obtain </w:t>
      </w:r>
      <w:r>
        <w:rPr>
          <w:rFonts w:cs="Arial"/>
        </w:rPr>
        <w:t xml:space="preserve">your </w:t>
      </w:r>
      <w:r w:rsidRPr="00D65F91">
        <w:rPr>
          <w:rFonts w:cs="Arial"/>
        </w:rPr>
        <w:t xml:space="preserve">consent </w:t>
      </w:r>
      <w:r>
        <w:rPr>
          <w:rFonts w:cs="Arial"/>
        </w:rPr>
        <w:t>before</w:t>
      </w:r>
      <w:r w:rsidRPr="00D65F91">
        <w:rPr>
          <w:rFonts w:cs="Arial"/>
        </w:rPr>
        <w:t xml:space="preserve"> using your assets, including mortgaging, charging, pledging or hypothecating</w:t>
      </w:r>
      <w:r>
        <w:rPr>
          <w:rFonts w:cs="Arial"/>
        </w:rPr>
        <w:t xml:space="preserve"> your assets under Regulation 34 of the SFR</w:t>
      </w:r>
      <w:r w:rsidRPr="00D65F91">
        <w:rPr>
          <w:rFonts w:cs="Arial"/>
        </w:rPr>
        <w:t>.</w:t>
      </w:r>
    </w:p>
    <w:p w:rsidR="005F4344" w:rsidRDefault="005F4344" w:rsidP="005F4344">
      <w:pPr>
        <w:pStyle w:val="ListParagraph"/>
        <w:ind w:left="450"/>
        <w:jc w:val="both"/>
        <w:rPr>
          <w:rFonts w:cs="Arial"/>
        </w:rPr>
      </w:pPr>
    </w:p>
    <w:p w:rsidR="005F4344" w:rsidRDefault="005F4344" w:rsidP="005F4344">
      <w:pPr>
        <w:pStyle w:val="ListParagraph"/>
        <w:ind w:left="450"/>
        <w:jc w:val="both"/>
        <w:rPr>
          <w:rFonts w:cs="Arial"/>
        </w:rPr>
      </w:pPr>
      <w:r>
        <w:rPr>
          <w:rFonts w:cs="Arial"/>
        </w:rPr>
        <w:t>We have summarised the requirements below.</w:t>
      </w:r>
    </w:p>
    <w:p w:rsidR="005F4344" w:rsidRDefault="005F4344" w:rsidP="005F4344">
      <w:pPr>
        <w:pStyle w:val="ListParagraph"/>
        <w:ind w:left="450"/>
        <w:jc w:val="both"/>
        <w:rPr>
          <w:rFonts w:cs="Arial"/>
        </w:rPr>
      </w:pPr>
    </w:p>
    <w:tbl>
      <w:tblPr>
        <w:tblStyle w:val="TableGrid"/>
        <w:tblW w:w="0" w:type="auto"/>
        <w:tblInd w:w="450" w:type="dxa"/>
        <w:tblLook w:val="04A0" w:firstRow="1" w:lastRow="0" w:firstColumn="1" w:lastColumn="0" w:noHBand="0" w:noVBand="1"/>
      </w:tblPr>
      <w:tblGrid>
        <w:gridCol w:w="2928"/>
        <w:gridCol w:w="2930"/>
        <w:gridCol w:w="2935"/>
      </w:tblGrid>
      <w:tr w:rsidR="005F4344" w:rsidTr="0067567D">
        <w:tc>
          <w:tcPr>
            <w:tcW w:w="3080" w:type="dxa"/>
          </w:tcPr>
          <w:p w:rsidR="005F4344" w:rsidRPr="009C0179" w:rsidRDefault="005F4344" w:rsidP="0067567D">
            <w:pPr>
              <w:pStyle w:val="ListParagraph"/>
              <w:ind w:left="0"/>
              <w:jc w:val="both"/>
              <w:rPr>
                <w:rFonts w:cs="Arial"/>
                <w:b/>
              </w:rPr>
            </w:pPr>
            <w:r w:rsidRPr="009C0179">
              <w:rPr>
                <w:rFonts w:cs="Arial"/>
                <w:b/>
              </w:rPr>
              <w:t xml:space="preserve">Holder </w:t>
            </w:r>
            <w:r>
              <w:rPr>
                <w:rFonts w:cs="Arial"/>
                <w:b/>
              </w:rPr>
              <w:t xml:space="preserve">of capital markets services licence (“CMSL”) </w:t>
            </w:r>
            <w:r w:rsidRPr="009C0179">
              <w:rPr>
                <w:rFonts w:cs="Arial"/>
                <w:b/>
              </w:rPr>
              <w:t>that is a member of an approved clearing house or recognised clearing house</w:t>
            </w:r>
          </w:p>
        </w:tc>
        <w:tc>
          <w:tcPr>
            <w:tcW w:w="3081" w:type="dxa"/>
          </w:tcPr>
          <w:p w:rsidR="005F4344" w:rsidRPr="006D1DA4" w:rsidRDefault="005F4344" w:rsidP="0067567D">
            <w:pPr>
              <w:pStyle w:val="ListParagraph"/>
              <w:ind w:left="0"/>
              <w:jc w:val="both"/>
              <w:rPr>
                <w:rFonts w:cs="Arial"/>
                <w:b/>
              </w:rPr>
            </w:pPr>
            <w:r w:rsidRPr="006D1DA4">
              <w:rPr>
                <w:rFonts w:cs="Arial"/>
                <w:b/>
              </w:rPr>
              <w:t>Retail customer</w:t>
            </w:r>
          </w:p>
        </w:tc>
        <w:tc>
          <w:tcPr>
            <w:tcW w:w="3081" w:type="dxa"/>
          </w:tcPr>
          <w:p w:rsidR="005F4344" w:rsidRPr="006D1DA4" w:rsidRDefault="005F4344" w:rsidP="0067567D">
            <w:pPr>
              <w:pStyle w:val="ListParagraph"/>
              <w:ind w:left="0"/>
              <w:jc w:val="both"/>
              <w:rPr>
                <w:rFonts w:cs="Arial"/>
                <w:b/>
              </w:rPr>
            </w:pPr>
            <w:r w:rsidRPr="006D1DA4">
              <w:rPr>
                <w:rFonts w:cs="Arial"/>
                <w:b/>
              </w:rPr>
              <w:t>Accredited investor</w:t>
            </w:r>
          </w:p>
        </w:tc>
      </w:tr>
      <w:tr w:rsidR="005F4344" w:rsidTr="0067567D">
        <w:tc>
          <w:tcPr>
            <w:tcW w:w="3080" w:type="dxa"/>
          </w:tcPr>
          <w:p w:rsidR="005F4344" w:rsidRPr="006D1DA4" w:rsidRDefault="005F4344" w:rsidP="0067567D">
            <w:pPr>
              <w:pStyle w:val="ListParagraph"/>
              <w:ind w:left="0"/>
              <w:jc w:val="both"/>
              <w:rPr>
                <w:rFonts w:cs="Arial"/>
                <w:b/>
              </w:rPr>
            </w:pPr>
            <w:r w:rsidRPr="006D1DA4">
              <w:rPr>
                <w:rFonts w:cs="Arial"/>
                <w:b/>
              </w:rPr>
              <w:t>Money received for OTC derivatives contract</w:t>
            </w:r>
            <w:r w:rsidR="00A323C8">
              <w:rPr>
                <w:rStyle w:val="FootnoteReference"/>
                <w:rFonts w:cs="Arial"/>
                <w:b/>
              </w:rPr>
              <w:footnoteReference w:id="1"/>
            </w:r>
          </w:p>
        </w:tc>
        <w:tc>
          <w:tcPr>
            <w:tcW w:w="3081" w:type="dxa"/>
          </w:tcPr>
          <w:p w:rsidR="005F4344" w:rsidRDefault="005F4344" w:rsidP="0067567D">
            <w:pPr>
              <w:pStyle w:val="ListParagraph"/>
              <w:ind w:left="0"/>
              <w:jc w:val="both"/>
              <w:rPr>
                <w:rFonts w:cs="Arial"/>
              </w:rPr>
            </w:pPr>
            <w:r>
              <w:rPr>
                <w:rFonts w:cs="Arial"/>
              </w:rPr>
              <w:t>Deposit into a trust account</w:t>
            </w:r>
          </w:p>
        </w:tc>
        <w:tc>
          <w:tcPr>
            <w:tcW w:w="3081" w:type="dxa"/>
          </w:tcPr>
          <w:p w:rsidR="005F4344" w:rsidRDefault="005F4344" w:rsidP="0067567D">
            <w:pPr>
              <w:pStyle w:val="ListParagraph"/>
              <w:numPr>
                <w:ilvl w:val="0"/>
                <w:numId w:val="18"/>
              </w:numPr>
              <w:ind w:left="383"/>
              <w:jc w:val="both"/>
              <w:rPr>
                <w:rFonts w:cs="Arial"/>
              </w:rPr>
            </w:pPr>
            <w:r>
              <w:rPr>
                <w:rFonts w:cs="Arial"/>
              </w:rPr>
              <w:t>Deposit into a trust account; or</w:t>
            </w:r>
          </w:p>
          <w:p w:rsidR="005F4344" w:rsidRDefault="005F4344" w:rsidP="0067567D">
            <w:pPr>
              <w:pStyle w:val="ListParagraph"/>
              <w:numPr>
                <w:ilvl w:val="0"/>
                <w:numId w:val="18"/>
              </w:numPr>
              <w:ind w:left="383"/>
              <w:jc w:val="both"/>
              <w:rPr>
                <w:rFonts w:cs="Arial"/>
              </w:rPr>
            </w:pPr>
            <w:r>
              <w:rPr>
                <w:rFonts w:cs="Arial"/>
              </w:rPr>
              <w:t>Deposit into account directed by accredited investor</w:t>
            </w:r>
          </w:p>
          <w:p w:rsidR="005F4344" w:rsidRDefault="005F4344" w:rsidP="0067567D">
            <w:pPr>
              <w:pStyle w:val="ListParagraph"/>
              <w:ind w:left="0"/>
              <w:jc w:val="both"/>
              <w:rPr>
                <w:rFonts w:cs="Arial"/>
              </w:rPr>
            </w:pPr>
          </w:p>
        </w:tc>
      </w:tr>
      <w:tr w:rsidR="005F4344" w:rsidTr="0067567D">
        <w:tc>
          <w:tcPr>
            <w:tcW w:w="3080" w:type="dxa"/>
          </w:tcPr>
          <w:p w:rsidR="005F4344" w:rsidRPr="006D1DA4" w:rsidRDefault="005F4344" w:rsidP="0067567D">
            <w:pPr>
              <w:pStyle w:val="ListParagraph"/>
              <w:ind w:left="0"/>
              <w:jc w:val="both"/>
              <w:rPr>
                <w:rFonts w:cs="Arial"/>
                <w:b/>
              </w:rPr>
            </w:pPr>
            <w:r w:rsidRPr="006D1DA4">
              <w:rPr>
                <w:rFonts w:cs="Arial"/>
                <w:b/>
              </w:rPr>
              <w:t>Money received for capital markets product that is not an OTC derivatives contract</w:t>
            </w:r>
            <w:r w:rsidR="00A323C8">
              <w:rPr>
                <w:rStyle w:val="FootnoteReference"/>
                <w:rFonts w:cs="Arial"/>
                <w:b/>
              </w:rPr>
              <w:footnoteReference w:id="2"/>
            </w:r>
          </w:p>
        </w:tc>
        <w:tc>
          <w:tcPr>
            <w:tcW w:w="3081" w:type="dxa"/>
          </w:tcPr>
          <w:p w:rsidR="005F4344" w:rsidRDefault="005F4344" w:rsidP="0067567D">
            <w:pPr>
              <w:pStyle w:val="ListParagraph"/>
              <w:numPr>
                <w:ilvl w:val="0"/>
                <w:numId w:val="18"/>
              </w:numPr>
              <w:ind w:left="383"/>
              <w:jc w:val="both"/>
              <w:rPr>
                <w:rFonts w:cs="Arial"/>
              </w:rPr>
            </w:pPr>
            <w:r>
              <w:rPr>
                <w:rFonts w:cs="Arial"/>
              </w:rPr>
              <w:t>Deposit into a trust account</w:t>
            </w:r>
            <w:r w:rsidR="00F40F64">
              <w:rPr>
                <w:rFonts w:cs="Arial"/>
              </w:rPr>
              <w:t xml:space="preserve"> maintained in accordance with Regulation 17 of the SFR (requires the trust account to be maintained with </w:t>
            </w:r>
            <w:r w:rsidR="008E17B0">
              <w:rPr>
                <w:rFonts w:cs="Arial"/>
              </w:rPr>
              <w:t xml:space="preserve">a </w:t>
            </w:r>
            <w:r w:rsidR="00F40F64">
              <w:rPr>
                <w:rFonts w:cs="Arial"/>
              </w:rPr>
              <w:t>certain specified institution which is assessed as suitable)</w:t>
            </w:r>
            <w:r>
              <w:rPr>
                <w:rFonts w:cs="Arial"/>
              </w:rPr>
              <w:t>; or</w:t>
            </w:r>
          </w:p>
          <w:p w:rsidR="005F4344" w:rsidRDefault="005F4344" w:rsidP="0067567D">
            <w:pPr>
              <w:pStyle w:val="ListParagraph"/>
              <w:numPr>
                <w:ilvl w:val="0"/>
                <w:numId w:val="18"/>
              </w:numPr>
              <w:ind w:left="383"/>
              <w:jc w:val="both"/>
              <w:rPr>
                <w:rFonts w:cs="Arial"/>
              </w:rPr>
            </w:pPr>
            <w:r>
              <w:rPr>
                <w:rFonts w:cs="Arial"/>
              </w:rPr>
              <w:t>Deposit into account directed by retail customer to which retail customer has legal and beneficial title and maintained with licensed banks, merchant banks or finance companies or banks established and regulated as banks outside Singapore</w:t>
            </w:r>
          </w:p>
        </w:tc>
        <w:tc>
          <w:tcPr>
            <w:tcW w:w="3081" w:type="dxa"/>
          </w:tcPr>
          <w:p w:rsidR="005F4344" w:rsidRDefault="005F4344" w:rsidP="0067567D">
            <w:pPr>
              <w:pStyle w:val="ListParagraph"/>
              <w:numPr>
                <w:ilvl w:val="0"/>
                <w:numId w:val="18"/>
              </w:numPr>
              <w:ind w:left="383"/>
              <w:jc w:val="both"/>
              <w:rPr>
                <w:rFonts w:cs="Arial"/>
              </w:rPr>
            </w:pPr>
            <w:r>
              <w:rPr>
                <w:rFonts w:cs="Arial"/>
              </w:rPr>
              <w:t>Deposit into a trust account</w:t>
            </w:r>
            <w:r w:rsidR="00F40F64">
              <w:rPr>
                <w:rFonts w:cs="Arial"/>
              </w:rPr>
              <w:t xml:space="preserve"> maintained in accordance with Regulation 17 of the SFR (requires the trust account to be maintained with </w:t>
            </w:r>
            <w:r w:rsidR="008E17B0">
              <w:rPr>
                <w:rFonts w:cs="Arial"/>
              </w:rPr>
              <w:t xml:space="preserve">a </w:t>
            </w:r>
            <w:r w:rsidR="00F40F64">
              <w:rPr>
                <w:rFonts w:cs="Arial"/>
              </w:rPr>
              <w:t>certain specified institution which is assessed as suitable)</w:t>
            </w:r>
            <w:r>
              <w:rPr>
                <w:rFonts w:cs="Arial"/>
              </w:rPr>
              <w:t>; or</w:t>
            </w:r>
          </w:p>
          <w:p w:rsidR="005F4344" w:rsidRDefault="005F4344" w:rsidP="0067567D">
            <w:pPr>
              <w:pStyle w:val="ListParagraph"/>
              <w:numPr>
                <w:ilvl w:val="0"/>
                <w:numId w:val="18"/>
              </w:numPr>
              <w:ind w:left="383"/>
              <w:jc w:val="both"/>
              <w:rPr>
                <w:rFonts w:cs="Arial"/>
              </w:rPr>
            </w:pPr>
            <w:r>
              <w:rPr>
                <w:rFonts w:cs="Arial"/>
              </w:rPr>
              <w:t>Deposit into account directed by accredited investor</w:t>
            </w:r>
          </w:p>
          <w:p w:rsidR="005F4344" w:rsidRDefault="005F4344" w:rsidP="0067567D">
            <w:pPr>
              <w:pStyle w:val="ListParagraph"/>
              <w:ind w:left="0"/>
              <w:jc w:val="both"/>
              <w:rPr>
                <w:rFonts w:cs="Arial"/>
              </w:rPr>
            </w:pPr>
          </w:p>
        </w:tc>
      </w:tr>
      <w:tr w:rsidR="005F4344" w:rsidTr="0067567D">
        <w:tc>
          <w:tcPr>
            <w:tcW w:w="3080" w:type="dxa"/>
          </w:tcPr>
          <w:p w:rsidR="005F4344" w:rsidRPr="006D1DA4" w:rsidRDefault="005F4344" w:rsidP="0067567D">
            <w:pPr>
              <w:pStyle w:val="ListParagraph"/>
              <w:ind w:left="0"/>
              <w:jc w:val="both"/>
              <w:rPr>
                <w:rFonts w:cs="Arial"/>
                <w:b/>
              </w:rPr>
            </w:pPr>
            <w:r w:rsidRPr="006D1DA4">
              <w:rPr>
                <w:rFonts w:cs="Arial"/>
                <w:b/>
              </w:rPr>
              <w:t>Moneys must not be commingled or deposited in the same trust account</w:t>
            </w:r>
            <w:r w:rsidR="00A323C8">
              <w:rPr>
                <w:rStyle w:val="FootnoteReference"/>
                <w:rFonts w:cs="Arial"/>
                <w:b/>
              </w:rPr>
              <w:footnoteReference w:id="3"/>
            </w:r>
          </w:p>
        </w:tc>
        <w:tc>
          <w:tcPr>
            <w:tcW w:w="3081" w:type="dxa"/>
          </w:tcPr>
          <w:p w:rsidR="005F4344" w:rsidRDefault="005F4344" w:rsidP="0067567D">
            <w:pPr>
              <w:pStyle w:val="ListParagraph"/>
              <w:numPr>
                <w:ilvl w:val="0"/>
                <w:numId w:val="19"/>
              </w:numPr>
              <w:ind w:left="332"/>
              <w:jc w:val="both"/>
              <w:rPr>
                <w:rFonts w:cs="Arial"/>
              </w:rPr>
            </w:pPr>
            <w:r>
              <w:rPr>
                <w:rFonts w:cs="Arial"/>
              </w:rPr>
              <w:t>Exception for money received in respect of OTC derivative</w:t>
            </w:r>
            <w:r w:rsidR="008E17B0">
              <w:rPr>
                <w:rFonts w:cs="Arial"/>
              </w:rPr>
              <w:t>s</w:t>
            </w:r>
            <w:r>
              <w:rPr>
                <w:rFonts w:cs="Arial"/>
              </w:rPr>
              <w:t xml:space="preserve"> contracts, where moneys received on account of retail customers can be </w:t>
            </w:r>
            <w:r>
              <w:rPr>
                <w:rFonts w:cs="Arial"/>
              </w:rPr>
              <w:lastRenderedPageBreak/>
              <w:t>commingled or deposited in same trust account</w:t>
            </w:r>
          </w:p>
          <w:p w:rsidR="005F4344" w:rsidRDefault="005F4344" w:rsidP="00FF4DB7">
            <w:pPr>
              <w:pStyle w:val="ListParagraph"/>
              <w:numPr>
                <w:ilvl w:val="0"/>
                <w:numId w:val="19"/>
              </w:numPr>
              <w:ind w:left="332"/>
              <w:jc w:val="both"/>
              <w:rPr>
                <w:rFonts w:cs="Arial"/>
              </w:rPr>
            </w:pPr>
            <w:r>
              <w:rPr>
                <w:rFonts w:cs="Arial"/>
              </w:rPr>
              <w:t>Exception for money received</w:t>
            </w:r>
            <w:r w:rsidR="00816CF9">
              <w:rPr>
                <w:rFonts w:cs="Arial"/>
              </w:rPr>
              <w:t xml:space="preserve"> on account of retail customers</w:t>
            </w:r>
            <w:r>
              <w:rPr>
                <w:rFonts w:cs="Arial"/>
              </w:rPr>
              <w:t xml:space="preserve"> in respect of any capital market</w:t>
            </w:r>
            <w:r w:rsidR="00F40F64">
              <w:rPr>
                <w:rFonts w:cs="Arial"/>
              </w:rPr>
              <w:t>s</w:t>
            </w:r>
            <w:r>
              <w:rPr>
                <w:rFonts w:cs="Arial"/>
              </w:rPr>
              <w:t xml:space="preserve"> products</w:t>
            </w:r>
            <w:r w:rsidR="00816CF9">
              <w:rPr>
                <w:rFonts w:cs="Arial"/>
              </w:rPr>
              <w:t xml:space="preserve"> other than OTC derivatives contracts</w:t>
            </w:r>
            <w:r>
              <w:rPr>
                <w:rFonts w:cs="Arial"/>
              </w:rPr>
              <w:t xml:space="preserve">, where </w:t>
            </w:r>
            <w:r w:rsidR="00816CF9">
              <w:rPr>
                <w:rFonts w:cs="Arial"/>
              </w:rPr>
              <w:t xml:space="preserve">such </w:t>
            </w:r>
            <w:r>
              <w:rPr>
                <w:rFonts w:cs="Arial"/>
              </w:rPr>
              <w:t>moneys received on account of retail investors can be commingled or deposited in same trust account</w:t>
            </w:r>
            <w:r w:rsidR="00A325BE">
              <w:rPr>
                <w:rFonts w:cs="Arial"/>
              </w:rPr>
              <w:t xml:space="preserve"> as money received on account of non-retail customers</w:t>
            </w:r>
          </w:p>
        </w:tc>
        <w:tc>
          <w:tcPr>
            <w:tcW w:w="3081" w:type="dxa"/>
          </w:tcPr>
          <w:p w:rsidR="005F4344" w:rsidRDefault="00D5035C" w:rsidP="0067567D">
            <w:pPr>
              <w:pStyle w:val="ListParagraph"/>
              <w:numPr>
                <w:ilvl w:val="0"/>
                <w:numId w:val="19"/>
              </w:numPr>
              <w:ind w:left="360"/>
              <w:jc w:val="both"/>
              <w:rPr>
                <w:rFonts w:cs="Arial"/>
              </w:rPr>
            </w:pPr>
            <w:r>
              <w:rPr>
                <w:rFonts w:cs="Arial"/>
              </w:rPr>
              <w:lastRenderedPageBreak/>
              <w:t>Exception for m</w:t>
            </w:r>
            <w:r w:rsidR="005F4344">
              <w:rPr>
                <w:rFonts w:cs="Arial"/>
              </w:rPr>
              <w:t>oney received on account of non-retail customers</w:t>
            </w:r>
            <w:r w:rsidR="008E3E9E">
              <w:rPr>
                <w:rFonts w:cs="Arial"/>
              </w:rPr>
              <w:t>, which</w:t>
            </w:r>
            <w:r w:rsidR="005F4344">
              <w:rPr>
                <w:rFonts w:cs="Arial"/>
              </w:rPr>
              <w:t xml:space="preserve"> can be commingled or deposited in </w:t>
            </w:r>
            <w:r w:rsidR="008E3E9E">
              <w:rPr>
                <w:rFonts w:cs="Arial"/>
              </w:rPr>
              <w:t xml:space="preserve">the </w:t>
            </w:r>
            <w:r w:rsidR="005F4344">
              <w:rPr>
                <w:rFonts w:cs="Arial"/>
              </w:rPr>
              <w:t xml:space="preserve">same trust account as </w:t>
            </w:r>
            <w:r w:rsidR="005F4344" w:rsidRPr="0006747B">
              <w:rPr>
                <w:rFonts w:cs="Arial"/>
              </w:rPr>
              <w:t xml:space="preserve">money </w:t>
            </w:r>
            <w:r w:rsidR="005F4344" w:rsidRPr="0006747B">
              <w:rPr>
                <w:rFonts w:cs="Arial"/>
              </w:rPr>
              <w:lastRenderedPageBreak/>
              <w:t>received</w:t>
            </w:r>
            <w:r w:rsidR="005F4344">
              <w:rPr>
                <w:rFonts w:cs="Arial"/>
              </w:rPr>
              <w:t xml:space="preserve"> on account of retail customers</w:t>
            </w:r>
            <w:r w:rsidR="005F4344" w:rsidRPr="0006747B">
              <w:rPr>
                <w:rFonts w:cs="Arial"/>
              </w:rPr>
              <w:t xml:space="preserve"> in respect of any capital market</w:t>
            </w:r>
            <w:r w:rsidR="00F40F64">
              <w:rPr>
                <w:rFonts w:cs="Arial"/>
              </w:rPr>
              <w:t>s</w:t>
            </w:r>
            <w:r w:rsidR="005F4344" w:rsidRPr="0006747B">
              <w:rPr>
                <w:rFonts w:cs="Arial"/>
              </w:rPr>
              <w:t xml:space="preserve"> products</w:t>
            </w:r>
            <w:r w:rsidR="005F4344">
              <w:rPr>
                <w:rFonts w:cs="Arial"/>
              </w:rPr>
              <w:t xml:space="preserve"> other </w:t>
            </w:r>
            <w:r w:rsidR="002D12EE">
              <w:rPr>
                <w:rFonts w:cs="Arial"/>
              </w:rPr>
              <w:t xml:space="preserve">than </w:t>
            </w:r>
            <w:r w:rsidR="005F4344">
              <w:rPr>
                <w:rFonts w:cs="Arial"/>
              </w:rPr>
              <w:t>OTC derivative</w:t>
            </w:r>
            <w:r w:rsidR="008E17B0">
              <w:rPr>
                <w:rFonts w:cs="Arial"/>
              </w:rPr>
              <w:t>s</w:t>
            </w:r>
            <w:r w:rsidR="005F4344">
              <w:rPr>
                <w:rFonts w:cs="Arial"/>
              </w:rPr>
              <w:t xml:space="preserve"> contracts</w:t>
            </w:r>
          </w:p>
          <w:p w:rsidR="005F4344" w:rsidRDefault="005F4344" w:rsidP="0067567D">
            <w:pPr>
              <w:pStyle w:val="ListParagraph"/>
              <w:ind w:left="0"/>
              <w:jc w:val="both"/>
              <w:rPr>
                <w:rFonts w:cs="Arial"/>
              </w:rPr>
            </w:pPr>
          </w:p>
        </w:tc>
      </w:tr>
    </w:tbl>
    <w:p w:rsidR="005F4344" w:rsidRDefault="005F4344" w:rsidP="005F4344">
      <w:pPr>
        <w:pStyle w:val="ListParagraph"/>
        <w:ind w:left="450"/>
        <w:jc w:val="both"/>
        <w:rPr>
          <w:rFonts w:cs="Arial"/>
        </w:rPr>
      </w:pPr>
    </w:p>
    <w:p w:rsidR="005F4344" w:rsidRDefault="005F4344" w:rsidP="005F4344">
      <w:pPr>
        <w:pStyle w:val="ListParagraph"/>
        <w:ind w:left="450"/>
        <w:jc w:val="both"/>
        <w:rPr>
          <w:rFonts w:cs="Arial"/>
        </w:rPr>
      </w:pPr>
    </w:p>
    <w:tbl>
      <w:tblPr>
        <w:tblStyle w:val="TableGrid"/>
        <w:tblW w:w="0" w:type="auto"/>
        <w:tblInd w:w="450" w:type="dxa"/>
        <w:tblLook w:val="04A0" w:firstRow="1" w:lastRow="0" w:firstColumn="1" w:lastColumn="0" w:noHBand="0" w:noVBand="1"/>
      </w:tblPr>
      <w:tblGrid>
        <w:gridCol w:w="2936"/>
        <w:gridCol w:w="2928"/>
        <w:gridCol w:w="2928"/>
      </w:tblGrid>
      <w:tr w:rsidR="005F4344" w:rsidTr="0067567D">
        <w:tc>
          <w:tcPr>
            <w:tcW w:w="2936" w:type="dxa"/>
          </w:tcPr>
          <w:p w:rsidR="005F4344" w:rsidRPr="00D36CF1" w:rsidRDefault="005F4344" w:rsidP="0067567D">
            <w:pPr>
              <w:pStyle w:val="ListParagraph"/>
              <w:ind w:left="0"/>
              <w:jc w:val="both"/>
              <w:rPr>
                <w:rFonts w:cs="Arial"/>
                <w:b/>
              </w:rPr>
            </w:pPr>
            <w:r w:rsidRPr="00D36CF1">
              <w:rPr>
                <w:rFonts w:cs="Arial"/>
                <w:b/>
              </w:rPr>
              <w:t>CMSL</w:t>
            </w:r>
            <w:r>
              <w:rPr>
                <w:rFonts w:cs="Arial"/>
                <w:b/>
              </w:rPr>
              <w:t xml:space="preserve"> h</w:t>
            </w:r>
            <w:r w:rsidRPr="00D36CF1">
              <w:rPr>
                <w:rFonts w:cs="Arial"/>
                <w:b/>
              </w:rPr>
              <w:t xml:space="preserve">older that is </w:t>
            </w:r>
            <w:r>
              <w:rPr>
                <w:rFonts w:cs="Arial"/>
                <w:b/>
              </w:rPr>
              <w:t xml:space="preserve">not </w:t>
            </w:r>
            <w:r w:rsidRPr="00D36CF1">
              <w:rPr>
                <w:rFonts w:cs="Arial"/>
                <w:b/>
              </w:rPr>
              <w:t>a member of an approved clearing house or recognised clearing house</w:t>
            </w:r>
          </w:p>
        </w:tc>
        <w:tc>
          <w:tcPr>
            <w:tcW w:w="2928" w:type="dxa"/>
          </w:tcPr>
          <w:p w:rsidR="005F4344" w:rsidRPr="009C0179" w:rsidRDefault="005F4344" w:rsidP="0067567D">
            <w:pPr>
              <w:pStyle w:val="ListParagraph"/>
              <w:ind w:left="0"/>
              <w:jc w:val="both"/>
              <w:rPr>
                <w:rFonts w:cs="Arial"/>
                <w:b/>
              </w:rPr>
            </w:pPr>
            <w:r w:rsidRPr="009C0179">
              <w:rPr>
                <w:rFonts w:cs="Arial"/>
                <w:b/>
              </w:rPr>
              <w:t>Retail customer</w:t>
            </w:r>
          </w:p>
        </w:tc>
        <w:tc>
          <w:tcPr>
            <w:tcW w:w="2928" w:type="dxa"/>
          </w:tcPr>
          <w:p w:rsidR="005F4344" w:rsidRPr="009C0179" w:rsidRDefault="005F4344" w:rsidP="0067567D">
            <w:pPr>
              <w:pStyle w:val="ListParagraph"/>
              <w:ind w:left="0"/>
              <w:jc w:val="both"/>
              <w:rPr>
                <w:rFonts w:cs="Arial"/>
                <w:b/>
              </w:rPr>
            </w:pPr>
            <w:r w:rsidRPr="009C0179">
              <w:rPr>
                <w:rFonts w:cs="Arial"/>
                <w:b/>
              </w:rPr>
              <w:t>Accredited investor</w:t>
            </w:r>
          </w:p>
        </w:tc>
      </w:tr>
      <w:tr w:rsidR="005F4344" w:rsidTr="0067567D">
        <w:tc>
          <w:tcPr>
            <w:tcW w:w="2936" w:type="dxa"/>
          </w:tcPr>
          <w:p w:rsidR="005F4344" w:rsidRPr="009C0179" w:rsidRDefault="005F4344" w:rsidP="0067567D">
            <w:pPr>
              <w:pStyle w:val="ListParagraph"/>
              <w:ind w:left="0"/>
              <w:jc w:val="both"/>
              <w:rPr>
                <w:rFonts w:cs="Arial"/>
                <w:b/>
              </w:rPr>
            </w:pPr>
            <w:r w:rsidRPr="009C0179">
              <w:rPr>
                <w:rFonts w:cs="Arial"/>
                <w:b/>
              </w:rPr>
              <w:t>Money received on account of customer</w:t>
            </w:r>
            <w:r w:rsidR="00A323C8">
              <w:rPr>
                <w:rStyle w:val="FootnoteReference"/>
                <w:rFonts w:cs="Arial"/>
                <w:b/>
              </w:rPr>
              <w:footnoteReference w:id="4"/>
            </w:r>
          </w:p>
        </w:tc>
        <w:tc>
          <w:tcPr>
            <w:tcW w:w="2928" w:type="dxa"/>
          </w:tcPr>
          <w:p w:rsidR="005F4344" w:rsidRDefault="005F4344" w:rsidP="0067567D">
            <w:pPr>
              <w:pStyle w:val="ListParagraph"/>
              <w:numPr>
                <w:ilvl w:val="0"/>
                <w:numId w:val="18"/>
              </w:numPr>
              <w:ind w:left="383"/>
              <w:jc w:val="both"/>
              <w:rPr>
                <w:rFonts w:cs="Arial"/>
              </w:rPr>
            </w:pPr>
            <w:r>
              <w:rPr>
                <w:rFonts w:cs="Arial"/>
              </w:rPr>
              <w:t>Deposit into a trust account</w:t>
            </w:r>
            <w:r w:rsidR="0061736A">
              <w:rPr>
                <w:rFonts w:cs="Arial"/>
              </w:rPr>
              <w:t xml:space="preserve"> maintained in accordance with Regulation 17 of the SFR (requires the trust account to be maintained with </w:t>
            </w:r>
            <w:r w:rsidR="008E17B0">
              <w:rPr>
                <w:rFonts w:cs="Arial"/>
              </w:rPr>
              <w:t xml:space="preserve">a </w:t>
            </w:r>
            <w:r w:rsidR="0061736A">
              <w:rPr>
                <w:rFonts w:cs="Arial"/>
              </w:rPr>
              <w:t>certain specified institution which is assessed as suitable)</w:t>
            </w:r>
            <w:r>
              <w:rPr>
                <w:rFonts w:cs="Arial"/>
              </w:rPr>
              <w:t>; or</w:t>
            </w:r>
          </w:p>
          <w:p w:rsidR="005F4344" w:rsidRDefault="005F4344" w:rsidP="0067567D">
            <w:pPr>
              <w:pStyle w:val="ListParagraph"/>
              <w:numPr>
                <w:ilvl w:val="0"/>
                <w:numId w:val="18"/>
              </w:numPr>
              <w:ind w:left="383"/>
              <w:jc w:val="both"/>
              <w:rPr>
                <w:rFonts w:cs="Arial"/>
              </w:rPr>
            </w:pPr>
            <w:r>
              <w:rPr>
                <w:rFonts w:cs="Arial"/>
              </w:rPr>
              <w:t>Deposit into account directed by retail customer to which retail customer has legal and beneficial title and maintained with licensed banks, merchant banks or finance companies or banks established and regulated as banks outside Singapore</w:t>
            </w:r>
          </w:p>
        </w:tc>
        <w:tc>
          <w:tcPr>
            <w:tcW w:w="2928" w:type="dxa"/>
          </w:tcPr>
          <w:p w:rsidR="005F4344" w:rsidRDefault="005F4344" w:rsidP="0067567D">
            <w:pPr>
              <w:pStyle w:val="ListParagraph"/>
              <w:numPr>
                <w:ilvl w:val="0"/>
                <w:numId w:val="18"/>
              </w:numPr>
              <w:ind w:left="383"/>
              <w:jc w:val="both"/>
              <w:rPr>
                <w:rFonts w:cs="Arial"/>
              </w:rPr>
            </w:pPr>
            <w:r>
              <w:rPr>
                <w:rFonts w:cs="Arial"/>
              </w:rPr>
              <w:t>Deposit into a trust account</w:t>
            </w:r>
            <w:r w:rsidR="0061736A">
              <w:rPr>
                <w:rFonts w:cs="Arial"/>
              </w:rPr>
              <w:t xml:space="preserve"> maintained in accordance with Regulation 17 of the SFR (requires the trust account to be maintained with </w:t>
            </w:r>
            <w:r w:rsidR="008E17B0">
              <w:rPr>
                <w:rFonts w:cs="Arial"/>
              </w:rPr>
              <w:t xml:space="preserve">a </w:t>
            </w:r>
            <w:r w:rsidR="0061736A">
              <w:rPr>
                <w:rFonts w:cs="Arial"/>
              </w:rPr>
              <w:t>certain specified institution which is assessed as suitable)</w:t>
            </w:r>
            <w:r>
              <w:rPr>
                <w:rFonts w:cs="Arial"/>
              </w:rPr>
              <w:t>; or</w:t>
            </w:r>
          </w:p>
          <w:p w:rsidR="005F4344" w:rsidRDefault="005F4344" w:rsidP="0067567D">
            <w:pPr>
              <w:pStyle w:val="ListParagraph"/>
              <w:numPr>
                <w:ilvl w:val="0"/>
                <w:numId w:val="18"/>
              </w:numPr>
              <w:ind w:left="383"/>
              <w:jc w:val="both"/>
              <w:rPr>
                <w:rFonts w:cs="Arial"/>
              </w:rPr>
            </w:pPr>
            <w:r>
              <w:rPr>
                <w:rFonts w:cs="Arial"/>
              </w:rPr>
              <w:t>Deposit into account directed by accredited investor</w:t>
            </w:r>
          </w:p>
          <w:p w:rsidR="005F4344" w:rsidRDefault="005F4344" w:rsidP="0067567D">
            <w:pPr>
              <w:pStyle w:val="ListParagraph"/>
              <w:ind w:left="0"/>
              <w:jc w:val="both"/>
              <w:rPr>
                <w:rFonts w:cs="Arial"/>
              </w:rPr>
            </w:pPr>
          </w:p>
        </w:tc>
      </w:tr>
    </w:tbl>
    <w:p w:rsidR="005F4344" w:rsidRDefault="005F4344" w:rsidP="005F4344">
      <w:pPr>
        <w:pStyle w:val="ListParagraph"/>
        <w:ind w:left="450"/>
        <w:jc w:val="both"/>
        <w:rPr>
          <w:rFonts w:cs="Arial"/>
        </w:rPr>
      </w:pPr>
    </w:p>
    <w:p w:rsidR="005F4344" w:rsidRDefault="005F4344" w:rsidP="005F4344">
      <w:pPr>
        <w:pStyle w:val="ListParagraph"/>
        <w:ind w:left="450"/>
        <w:jc w:val="both"/>
        <w:rPr>
          <w:rFonts w:cs="Arial"/>
        </w:rPr>
      </w:pPr>
    </w:p>
    <w:tbl>
      <w:tblPr>
        <w:tblStyle w:val="TableGrid"/>
        <w:tblW w:w="0" w:type="auto"/>
        <w:tblInd w:w="450" w:type="dxa"/>
        <w:tblLook w:val="04A0" w:firstRow="1" w:lastRow="0" w:firstColumn="1" w:lastColumn="0" w:noHBand="0" w:noVBand="1"/>
      </w:tblPr>
      <w:tblGrid>
        <w:gridCol w:w="2936"/>
        <w:gridCol w:w="2928"/>
        <w:gridCol w:w="2928"/>
      </w:tblGrid>
      <w:tr w:rsidR="005F4344" w:rsidTr="0067567D">
        <w:tc>
          <w:tcPr>
            <w:tcW w:w="2936" w:type="dxa"/>
          </w:tcPr>
          <w:p w:rsidR="005F4344" w:rsidRPr="00D36CF1" w:rsidRDefault="005F4344" w:rsidP="0067567D">
            <w:pPr>
              <w:pStyle w:val="ListParagraph"/>
              <w:ind w:left="0"/>
              <w:jc w:val="both"/>
              <w:rPr>
                <w:rFonts w:cs="Arial"/>
                <w:b/>
              </w:rPr>
            </w:pPr>
            <w:r>
              <w:rPr>
                <w:rFonts w:cs="Arial"/>
                <w:b/>
              </w:rPr>
              <w:lastRenderedPageBreak/>
              <w:t xml:space="preserve">All </w:t>
            </w:r>
            <w:r w:rsidRPr="00D36CF1">
              <w:rPr>
                <w:rFonts w:cs="Arial"/>
                <w:b/>
              </w:rPr>
              <w:t>CMSL</w:t>
            </w:r>
            <w:r>
              <w:rPr>
                <w:rFonts w:cs="Arial"/>
                <w:b/>
              </w:rPr>
              <w:t xml:space="preserve"> h</w:t>
            </w:r>
            <w:r w:rsidRPr="00D36CF1">
              <w:rPr>
                <w:rFonts w:cs="Arial"/>
                <w:b/>
              </w:rPr>
              <w:t>older</w:t>
            </w:r>
            <w:r>
              <w:rPr>
                <w:rFonts w:cs="Arial"/>
                <w:b/>
              </w:rPr>
              <w:t>s</w:t>
            </w:r>
            <w:r w:rsidRPr="00D36CF1">
              <w:rPr>
                <w:rFonts w:cs="Arial"/>
                <w:b/>
              </w:rPr>
              <w:t xml:space="preserve"> </w:t>
            </w:r>
          </w:p>
        </w:tc>
        <w:tc>
          <w:tcPr>
            <w:tcW w:w="2928" w:type="dxa"/>
          </w:tcPr>
          <w:p w:rsidR="005F4344" w:rsidRPr="009C0179" w:rsidRDefault="005F4344" w:rsidP="0067567D">
            <w:pPr>
              <w:pStyle w:val="ListParagraph"/>
              <w:ind w:left="0"/>
              <w:jc w:val="both"/>
              <w:rPr>
                <w:rFonts w:cs="Arial"/>
                <w:b/>
              </w:rPr>
            </w:pPr>
            <w:r w:rsidRPr="009C0179">
              <w:rPr>
                <w:rFonts w:cs="Arial"/>
                <w:b/>
              </w:rPr>
              <w:t>Retail customer</w:t>
            </w:r>
          </w:p>
        </w:tc>
        <w:tc>
          <w:tcPr>
            <w:tcW w:w="2928" w:type="dxa"/>
          </w:tcPr>
          <w:p w:rsidR="005F4344" w:rsidRPr="009C0179" w:rsidRDefault="005F4344" w:rsidP="0067567D">
            <w:pPr>
              <w:pStyle w:val="ListParagraph"/>
              <w:ind w:left="0"/>
              <w:jc w:val="both"/>
              <w:rPr>
                <w:rFonts w:cs="Arial"/>
                <w:b/>
              </w:rPr>
            </w:pPr>
            <w:r w:rsidRPr="009C0179">
              <w:rPr>
                <w:rFonts w:cs="Arial"/>
                <w:b/>
              </w:rPr>
              <w:t>Accredited investor</w:t>
            </w:r>
          </w:p>
        </w:tc>
      </w:tr>
      <w:tr w:rsidR="005F4344" w:rsidTr="0067567D">
        <w:tc>
          <w:tcPr>
            <w:tcW w:w="2936" w:type="dxa"/>
          </w:tcPr>
          <w:p w:rsidR="005F4344" w:rsidRPr="009C0179" w:rsidRDefault="005F4344" w:rsidP="0067567D">
            <w:pPr>
              <w:pStyle w:val="ListParagraph"/>
              <w:ind w:left="0"/>
              <w:jc w:val="both"/>
              <w:rPr>
                <w:rFonts w:cs="Arial"/>
                <w:b/>
              </w:rPr>
            </w:pPr>
            <w:r w:rsidRPr="009C0179">
              <w:rPr>
                <w:rFonts w:cs="Arial"/>
                <w:b/>
              </w:rPr>
              <w:t>Money received in foreign currency, subject to written consent of customer</w:t>
            </w:r>
            <w:r w:rsidR="00A323C8">
              <w:rPr>
                <w:rStyle w:val="FootnoteReference"/>
                <w:rFonts w:cs="Arial"/>
                <w:b/>
              </w:rPr>
              <w:footnoteReference w:id="5"/>
            </w:r>
          </w:p>
        </w:tc>
        <w:tc>
          <w:tcPr>
            <w:tcW w:w="2928" w:type="dxa"/>
          </w:tcPr>
          <w:p w:rsidR="005F4344" w:rsidRDefault="005F4344" w:rsidP="0067567D">
            <w:pPr>
              <w:pStyle w:val="ListParagraph"/>
              <w:numPr>
                <w:ilvl w:val="0"/>
                <w:numId w:val="18"/>
              </w:numPr>
              <w:ind w:left="383"/>
              <w:jc w:val="both"/>
              <w:rPr>
                <w:rFonts w:cs="Arial"/>
              </w:rPr>
            </w:pPr>
            <w:r>
              <w:rPr>
                <w:rFonts w:cs="Arial"/>
              </w:rPr>
              <w:t>Deposit moneys (other than moneys received from or on account of retail customer in respect of OTC derivative</w:t>
            </w:r>
            <w:r w:rsidR="008E17B0">
              <w:rPr>
                <w:rFonts w:cs="Arial"/>
              </w:rPr>
              <w:t>s</w:t>
            </w:r>
            <w:r>
              <w:rPr>
                <w:rFonts w:cs="Arial"/>
              </w:rPr>
              <w:t xml:space="preserve"> contracts entered into between the CMSL holder and retail customer) into a trust account with custodian outside Singapore which is licensed to conduct banking business</w:t>
            </w:r>
          </w:p>
          <w:p w:rsidR="005F4344" w:rsidRDefault="005F4344" w:rsidP="0067567D">
            <w:pPr>
              <w:pStyle w:val="ListParagraph"/>
              <w:ind w:left="383"/>
              <w:jc w:val="both"/>
              <w:rPr>
                <w:rFonts w:cs="Arial"/>
              </w:rPr>
            </w:pPr>
          </w:p>
        </w:tc>
        <w:tc>
          <w:tcPr>
            <w:tcW w:w="2928" w:type="dxa"/>
          </w:tcPr>
          <w:p w:rsidR="005F4344" w:rsidRDefault="005F4344" w:rsidP="0067567D">
            <w:pPr>
              <w:pStyle w:val="ListParagraph"/>
              <w:numPr>
                <w:ilvl w:val="0"/>
                <w:numId w:val="18"/>
              </w:numPr>
              <w:ind w:left="383"/>
              <w:jc w:val="both"/>
              <w:rPr>
                <w:rFonts w:cs="Arial"/>
              </w:rPr>
            </w:pPr>
            <w:r>
              <w:rPr>
                <w:rFonts w:cs="Arial"/>
              </w:rPr>
              <w:t>Deposit</w:t>
            </w:r>
            <w:r w:rsidR="0064247A">
              <w:rPr>
                <w:rFonts w:cs="Arial"/>
              </w:rPr>
              <w:t xml:space="preserve"> all</w:t>
            </w:r>
            <w:r>
              <w:rPr>
                <w:rFonts w:cs="Arial"/>
              </w:rPr>
              <w:t xml:space="preserve"> moneys </w:t>
            </w:r>
            <w:r w:rsidR="0071092A">
              <w:rPr>
                <w:rFonts w:cs="Arial"/>
              </w:rPr>
              <w:t>(including moneys received in respect of OTC derivative</w:t>
            </w:r>
            <w:r w:rsidR="008E17B0">
              <w:rPr>
                <w:rFonts w:cs="Arial"/>
              </w:rPr>
              <w:t>s</w:t>
            </w:r>
            <w:r w:rsidR="0071092A">
              <w:rPr>
                <w:rFonts w:cs="Arial"/>
              </w:rPr>
              <w:t xml:space="preserve"> contracts) </w:t>
            </w:r>
            <w:r>
              <w:rPr>
                <w:rFonts w:cs="Arial"/>
              </w:rPr>
              <w:t>into a trust account with custodian outside Singapore which is licensed to conduct banking business</w:t>
            </w:r>
          </w:p>
          <w:p w:rsidR="005F4344" w:rsidRDefault="005F4344" w:rsidP="0067567D">
            <w:pPr>
              <w:pStyle w:val="ListParagraph"/>
              <w:ind w:left="0"/>
              <w:jc w:val="both"/>
              <w:rPr>
                <w:rFonts w:cs="Arial"/>
              </w:rPr>
            </w:pPr>
          </w:p>
        </w:tc>
      </w:tr>
      <w:tr w:rsidR="005F4344" w:rsidTr="0067567D">
        <w:tc>
          <w:tcPr>
            <w:tcW w:w="2936" w:type="dxa"/>
          </w:tcPr>
          <w:p w:rsidR="005F4344" w:rsidRPr="009C0179" w:rsidRDefault="005F4344" w:rsidP="0067567D">
            <w:pPr>
              <w:pStyle w:val="ListParagraph"/>
              <w:ind w:left="0"/>
              <w:jc w:val="both"/>
              <w:rPr>
                <w:rFonts w:cs="Arial"/>
                <w:b/>
              </w:rPr>
            </w:pPr>
            <w:r w:rsidRPr="009C0179">
              <w:rPr>
                <w:rFonts w:cs="Arial"/>
                <w:b/>
              </w:rPr>
              <w:t>Disclosure requirement</w:t>
            </w:r>
            <w:r w:rsidR="00A323C8">
              <w:rPr>
                <w:rStyle w:val="FootnoteReference"/>
                <w:rFonts w:cs="Arial"/>
                <w:b/>
              </w:rPr>
              <w:footnoteReference w:id="6"/>
            </w:r>
          </w:p>
        </w:tc>
        <w:tc>
          <w:tcPr>
            <w:tcW w:w="2928" w:type="dxa"/>
          </w:tcPr>
          <w:p w:rsidR="005F4344" w:rsidRDefault="005F4344" w:rsidP="0067567D">
            <w:pPr>
              <w:pStyle w:val="ListParagraph"/>
              <w:numPr>
                <w:ilvl w:val="0"/>
                <w:numId w:val="18"/>
              </w:numPr>
              <w:ind w:left="383"/>
              <w:jc w:val="both"/>
              <w:rPr>
                <w:rFonts w:cs="Arial"/>
              </w:rPr>
            </w:pPr>
            <w:r>
              <w:rPr>
                <w:rFonts w:cs="Arial"/>
              </w:rPr>
              <w:t>CMSL holder to make certain disclosures (such as whether the moneys/assets will be commingled with other customers and the risks of commingling, consequences if the institution which maintains the trust/custody account becomes insolvent) in writing prior to depositing moneys/assets in trust/custody account</w:t>
            </w:r>
          </w:p>
          <w:p w:rsidR="005F4344" w:rsidRDefault="005F4344" w:rsidP="0067567D">
            <w:pPr>
              <w:pStyle w:val="ListParagraph"/>
              <w:ind w:left="383"/>
              <w:jc w:val="both"/>
              <w:rPr>
                <w:rFonts w:cs="Arial"/>
              </w:rPr>
            </w:pPr>
          </w:p>
        </w:tc>
        <w:tc>
          <w:tcPr>
            <w:tcW w:w="2928" w:type="dxa"/>
          </w:tcPr>
          <w:p w:rsidR="005F4344" w:rsidRDefault="005F4344" w:rsidP="0067567D">
            <w:pPr>
              <w:pStyle w:val="ListParagraph"/>
              <w:numPr>
                <w:ilvl w:val="0"/>
                <w:numId w:val="18"/>
              </w:numPr>
              <w:ind w:left="383"/>
              <w:jc w:val="both"/>
              <w:rPr>
                <w:rFonts w:cs="Arial"/>
              </w:rPr>
            </w:pPr>
            <w:r>
              <w:rPr>
                <w:rFonts w:cs="Arial"/>
              </w:rPr>
              <w:t>No such requirement</w:t>
            </w:r>
          </w:p>
        </w:tc>
      </w:tr>
      <w:tr w:rsidR="005F4344" w:rsidTr="0067567D">
        <w:tc>
          <w:tcPr>
            <w:tcW w:w="2936" w:type="dxa"/>
          </w:tcPr>
          <w:p w:rsidR="005F4344" w:rsidRPr="00AB20C5" w:rsidRDefault="005F4344" w:rsidP="0067567D">
            <w:pPr>
              <w:pStyle w:val="ListParagraph"/>
              <w:ind w:left="0"/>
              <w:jc w:val="both"/>
              <w:rPr>
                <w:rFonts w:cs="Arial"/>
                <w:b/>
              </w:rPr>
            </w:pPr>
            <w:r>
              <w:rPr>
                <w:rFonts w:cs="Arial"/>
                <w:b/>
              </w:rPr>
              <w:t xml:space="preserve">Depositing moneys with </w:t>
            </w:r>
            <w:r w:rsidRPr="006D1DA4">
              <w:rPr>
                <w:rFonts w:cs="Arial"/>
                <w:b/>
                <w:i/>
              </w:rPr>
              <w:t>inter alia</w:t>
            </w:r>
            <w:r>
              <w:rPr>
                <w:rFonts w:cs="Arial"/>
                <w:b/>
              </w:rPr>
              <w:t xml:space="preserve"> approved</w:t>
            </w:r>
            <w:r w:rsidR="004568C3">
              <w:rPr>
                <w:rFonts w:cs="Arial"/>
                <w:b/>
              </w:rPr>
              <w:t xml:space="preserve"> or recognised</w:t>
            </w:r>
            <w:r>
              <w:rPr>
                <w:rFonts w:cs="Arial"/>
                <w:b/>
              </w:rPr>
              <w:t xml:space="preserve"> clearing house or member of organised market or clearing facility</w:t>
            </w:r>
            <w:r w:rsidR="00A323C8">
              <w:rPr>
                <w:rStyle w:val="FootnoteReference"/>
                <w:rFonts w:cs="Arial"/>
                <w:b/>
              </w:rPr>
              <w:footnoteReference w:id="7"/>
            </w:r>
          </w:p>
        </w:tc>
        <w:tc>
          <w:tcPr>
            <w:tcW w:w="2928" w:type="dxa"/>
          </w:tcPr>
          <w:p w:rsidR="005F4344" w:rsidRDefault="005F4344" w:rsidP="0067567D">
            <w:pPr>
              <w:pStyle w:val="ListParagraph"/>
              <w:numPr>
                <w:ilvl w:val="0"/>
                <w:numId w:val="18"/>
              </w:numPr>
              <w:ind w:left="383"/>
              <w:jc w:val="both"/>
              <w:rPr>
                <w:rFonts w:cs="Arial"/>
              </w:rPr>
            </w:pPr>
            <w:r>
              <w:rPr>
                <w:rFonts w:cs="Arial"/>
              </w:rPr>
              <w:t xml:space="preserve">Permitted only for moneys received for </w:t>
            </w:r>
            <w:r w:rsidRPr="000E5F99">
              <w:rPr>
                <w:rFonts w:cs="Arial"/>
                <w:b/>
                <w:i/>
              </w:rPr>
              <w:t>non-OTC derivatives contracts</w:t>
            </w:r>
            <w:r>
              <w:rPr>
                <w:rFonts w:cs="Arial"/>
              </w:rPr>
              <w:t xml:space="preserve"> for certain purposes, e.g. facilitating the continued holding of a position on behalf of the customer, clearing or settlement of capital markets products on the clearing facility</w:t>
            </w:r>
          </w:p>
        </w:tc>
        <w:tc>
          <w:tcPr>
            <w:tcW w:w="2928" w:type="dxa"/>
          </w:tcPr>
          <w:p w:rsidR="005F4344" w:rsidRDefault="005F4344" w:rsidP="0067567D">
            <w:pPr>
              <w:pStyle w:val="ListParagraph"/>
              <w:numPr>
                <w:ilvl w:val="0"/>
                <w:numId w:val="18"/>
              </w:numPr>
              <w:ind w:left="383"/>
              <w:jc w:val="both"/>
              <w:rPr>
                <w:rFonts w:cs="Arial"/>
              </w:rPr>
            </w:pPr>
            <w:r>
              <w:rPr>
                <w:rFonts w:cs="Arial"/>
              </w:rPr>
              <w:t>Permitted only for moneys received for certain purposes, e.g. facilitating the continued holding of a position on behalf of the customer, clearing or settlement of capital markets products on the clearing facility</w:t>
            </w:r>
          </w:p>
        </w:tc>
      </w:tr>
      <w:tr w:rsidR="005F4344" w:rsidTr="0067567D">
        <w:tc>
          <w:tcPr>
            <w:tcW w:w="2936" w:type="dxa"/>
          </w:tcPr>
          <w:p w:rsidR="005F4344" w:rsidRDefault="005F4344" w:rsidP="0067567D">
            <w:pPr>
              <w:pStyle w:val="ListParagraph"/>
              <w:ind w:left="0"/>
              <w:jc w:val="both"/>
              <w:rPr>
                <w:rFonts w:cs="Arial"/>
                <w:b/>
              </w:rPr>
            </w:pPr>
            <w:r>
              <w:rPr>
                <w:rFonts w:cs="Arial"/>
                <w:b/>
              </w:rPr>
              <w:t xml:space="preserve">Prohibition on transferring </w:t>
            </w:r>
            <w:r>
              <w:rPr>
                <w:rFonts w:cs="Arial"/>
                <w:b/>
              </w:rPr>
              <w:lastRenderedPageBreak/>
              <w:t>title of moneys/assets received from customer to CMSL holder or any other person</w:t>
            </w:r>
            <w:r w:rsidR="00A323C8">
              <w:rPr>
                <w:rStyle w:val="FootnoteReference"/>
                <w:rFonts w:cs="Arial"/>
                <w:b/>
              </w:rPr>
              <w:footnoteReference w:id="8"/>
            </w:r>
          </w:p>
        </w:tc>
        <w:tc>
          <w:tcPr>
            <w:tcW w:w="2928" w:type="dxa"/>
          </w:tcPr>
          <w:p w:rsidR="00F55DC3" w:rsidRDefault="005F4344" w:rsidP="0067567D">
            <w:pPr>
              <w:pStyle w:val="ListParagraph"/>
              <w:numPr>
                <w:ilvl w:val="0"/>
                <w:numId w:val="18"/>
              </w:numPr>
              <w:ind w:left="383"/>
              <w:jc w:val="both"/>
              <w:rPr>
                <w:rFonts w:cs="Arial"/>
              </w:rPr>
            </w:pPr>
            <w:r>
              <w:rPr>
                <w:rFonts w:cs="Arial"/>
              </w:rPr>
              <w:lastRenderedPageBreak/>
              <w:t xml:space="preserve">Prohibited unless </w:t>
            </w:r>
            <w:r>
              <w:rPr>
                <w:rFonts w:cs="Arial"/>
              </w:rPr>
              <w:lastRenderedPageBreak/>
              <w:t>transferred in connection with</w:t>
            </w:r>
            <w:r w:rsidR="00F55DC3">
              <w:rPr>
                <w:rFonts w:cs="Arial"/>
              </w:rPr>
              <w:t>:</w:t>
            </w:r>
          </w:p>
          <w:p w:rsidR="00F55DC3" w:rsidRDefault="00F55DC3" w:rsidP="00F55DC3">
            <w:pPr>
              <w:pStyle w:val="ListParagraph"/>
              <w:numPr>
                <w:ilvl w:val="1"/>
                <w:numId w:val="18"/>
              </w:numPr>
              <w:ind w:left="720"/>
              <w:jc w:val="both"/>
              <w:rPr>
                <w:rFonts w:cs="Arial"/>
              </w:rPr>
            </w:pPr>
            <w:r>
              <w:rPr>
                <w:rFonts w:cs="Arial"/>
              </w:rPr>
              <w:t>in the case of moneys, the lending of the retail customer’s specified products; and</w:t>
            </w:r>
          </w:p>
          <w:p w:rsidR="00F55DC3" w:rsidRDefault="00F55DC3" w:rsidP="00F72A94">
            <w:pPr>
              <w:pStyle w:val="ListParagraph"/>
              <w:numPr>
                <w:ilvl w:val="1"/>
                <w:numId w:val="18"/>
              </w:numPr>
              <w:ind w:left="720"/>
              <w:jc w:val="both"/>
              <w:rPr>
                <w:rFonts w:cs="Arial"/>
              </w:rPr>
            </w:pPr>
            <w:r>
              <w:rPr>
                <w:rFonts w:cs="Arial"/>
              </w:rPr>
              <w:t>in the case of assets, the</w:t>
            </w:r>
            <w:r w:rsidR="005F4344">
              <w:rPr>
                <w:rFonts w:cs="Arial"/>
              </w:rPr>
              <w:t xml:space="preserve"> borrowing </w:t>
            </w:r>
            <w:r w:rsidR="002B62F8">
              <w:rPr>
                <w:rFonts w:cs="Arial"/>
              </w:rPr>
              <w:t xml:space="preserve">or </w:t>
            </w:r>
            <w:r w:rsidR="005F4344">
              <w:rPr>
                <w:rFonts w:cs="Arial"/>
              </w:rPr>
              <w:t>lending of specified products</w:t>
            </w:r>
            <w:r>
              <w:rPr>
                <w:rFonts w:cs="Arial"/>
              </w:rPr>
              <w:t>,</w:t>
            </w:r>
          </w:p>
          <w:p w:rsidR="005F4344" w:rsidRPr="002B62F8" w:rsidRDefault="005F4344" w:rsidP="00F72A94">
            <w:pPr>
              <w:ind w:left="360"/>
              <w:jc w:val="both"/>
              <w:rPr>
                <w:rFonts w:cs="Arial"/>
              </w:rPr>
            </w:pPr>
            <w:r w:rsidRPr="002B62F8">
              <w:rPr>
                <w:rFonts w:cs="Arial"/>
              </w:rPr>
              <w:t>in accordance with Regulation 45</w:t>
            </w:r>
            <w:r w:rsidR="00995729">
              <w:rPr>
                <w:rFonts w:cs="Arial"/>
              </w:rPr>
              <w:t xml:space="preserve"> of the SFR</w:t>
            </w:r>
          </w:p>
        </w:tc>
        <w:tc>
          <w:tcPr>
            <w:tcW w:w="2928" w:type="dxa"/>
          </w:tcPr>
          <w:p w:rsidR="005F4344" w:rsidRDefault="005F4344" w:rsidP="0067567D">
            <w:pPr>
              <w:pStyle w:val="ListParagraph"/>
              <w:numPr>
                <w:ilvl w:val="0"/>
                <w:numId w:val="18"/>
              </w:numPr>
              <w:ind w:left="383"/>
              <w:jc w:val="both"/>
              <w:rPr>
                <w:rFonts w:cs="Arial"/>
              </w:rPr>
            </w:pPr>
            <w:r>
              <w:rPr>
                <w:rFonts w:cs="Arial"/>
              </w:rPr>
              <w:lastRenderedPageBreak/>
              <w:t>No such requirement</w:t>
            </w:r>
          </w:p>
        </w:tc>
      </w:tr>
      <w:tr w:rsidR="005F4344" w:rsidTr="0067567D">
        <w:tc>
          <w:tcPr>
            <w:tcW w:w="2936" w:type="dxa"/>
          </w:tcPr>
          <w:p w:rsidR="005F4344" w:rsidRDefault="005F4344" w:rsidP="0067567D">
            <w:pPr>
              <w:pStyle w:val="ListParagraph"/>
              <w:ind w:left="0"/>
              <w:jc w:val="both"/>
              <w:rPr>
                <w:rFonts w:cs="Arial"/>
                <w:b/>
              </w:rPr>
            </w:pPr>
            <w:r>
              <w:rPr>
                <w:rFonts w:cs="Arial"/>
                <w:b/>
              </w:rPr>
              <w:lastRenderedPageBreak/>
              <w:t xml:space="preserve">Withdrawals from trust account/custody account to make payment/transfer the </w:t>
            </w:r>
            <w:r w:rsidR="00CA6BA3">
              <w:rPr>
                <w:rFonts w:cs="Arial"/>
                <w:b/>
              </w:rPr>
              <w:t xml:space="preserve">moneys/assets </w:t>
            </w:r>
            <w:r>
              <w:rPr>
                <w:rFonts w:cs="Arial"/>
                <w:b/>
              </w:rPr>
              <w:t>to any other person or account in accordance with the written direction of the customer</w:t>
            </w:r>
            <w:r w:rsidR="00A323C8">
              <w:rPr>
                <w:rStyle w:val="FootnoteReference"/>
                <w:rFonts w:cs="Arial"/>
                <w:b/>
              </w:rPr>
              <w:footnoteReference w:id="9"/>
            </w:r>
          </w:p>
        </w:tc>
        <w:tc>
          <w:tcPr>
            <w:tcW w:w="2928" w:type="dxa"/>
          </w:tcPr>
          <w:p w:rsidR="005F4344" w:rsidRDefault="005F4344" w:rsidP="0067567D">
            <w:pPr>
              <w:pStyle w:val="ListParagraph"/>
              <w:numPr>
                <w:ilvl w:val="0"/>
                <w:numId w:val="18"/>
              </w:numPr>
              <w:ind w:left="383"/>
              <w:jc w:val="both"/>
              <w:rPr>
                <w:rFonts w:cs="Arial"/>
              </w:rPr>
            </w:pPr>
            <w:r>
              <w:rPr>
                <w:rFonts w:cs="Arial"/>
              </w:rPr>
              <w:t>Not permitted where the withdrawal is from a retail customer’s trust account for the purpose of making a payment, and not permitted to transfer retail customer’s assets, to meet any obligation of the CMSL holder in relation to any transaction entered into by the CMSL holder for the benefit of the holder</w:t>
            </w:r>
          </w:p>
        </w:tc>
        <w:tc>
          <w:tcPr>
            <w:tcW w:w="2928" w:type="dxa"/>
          </w:tcPr>
          <w:p w:rsidR="005F4344" w:rsidRDefault="00995729" w:rsidP="0067567D">
            <w:pPr>
              <w:pStyle w:val="ListParagraph"/>
              <w:numPr>
                <w:ilvl w:val="0"/>
                <w:numId w:val="18"/>
              </w:numPr>
              <w:ind w:left="383"/>
              <w:jc w:val="both"/>
              <w:rPr>
                <w:rFonts w:cs="Arial"/>
              </w:rPr>
            </w:pPr>
            <w:r>
              <w:rPr>
                <w:rFonts w:cs="Arial"/>
              </w:rPr>
              <w:t>No such prohibition</w:t>
            </w:r>
          </w:p>
        </w:tc>
      </w:tr>
      <w:tr w:rsidR="005F4344" w:rsidTr="0067567D">
        <w:tc>
          <w:tcPr>
            <w:tcW w:w="2936" w:type="dxa"/>
          </w:tcPr>
          <w:p w:rsidR="005F4344" w:rsidRDefault="005F4344" w:rsidP="0067567D">
            <w:pPr>
              <w:pStyle w:val="ListParagraph"/>
              <w:ind w:left="0"/>
              <w:jc w:val="both"/>
              <w:rPr>
                <w:rFonts w:cs="Arial"/>
                <w:b/>
              </w:rPr>
            </w:pPr>
            <w:r>
              <w:rPr>
                <w:rFonts w:cs="Arial"/>
                <w:b/>
              </w:rPr>
              <w:t>Customer Assets</w:t>
            </w:r>
            <w:r w:rsidR="00A323C8">
              <w:rPr>
                <w:rStyle w:val="FootnoteReference"/>
                <w:rFonts w:cs="Arial"/>
                <w:b/>
              </w:rPr>
              <w:footnoteReference w:id="10"/>
            </w:r>
          </w:p>
        </w:tc>
        <w:tc>
          <w:tcPr>
            <w:tcW w:w="2928" w:type="dxa"/>
          </w:tcPr>
          <w:p w:rsidR="005F4344" w:rsidRDefault="005F4344" w:rsidP="0067567D">
            <w:pPr>
              <w:pStyle w:val="ListParagraph"/>
              <w:numPr>
                <w:ilvl w:val="0"/>
                <w:numId w:val="18"/>
              </w:numPr>
              <w:ind w:left="383"/>
              <w:jc w:val="both"/>
              <w:rPr>
                <w:rFonts w:cs="Arial"/>
              </w:rPr>
            </w:pPr>
            <w:r>
              <w:rPr>
                <w:rFonts w:cs="Arial"/>
              </w:rPr>
              <w:t>Deposit into a custody account</w:t>
            </w:r>
            <w:r w:rsidR="008E64EF">
              <w:rPr>
                <w:rFonts w:cs="Arial"/>
              </w:rPr>
              <w:t xml:space="preserve"> </w:t>
            </w:r>
            <w:r w:rsidR="0018489B">
              <w:rPr>
                <w:rFonts w:cs="Arial"/>
              </w:rPr>
              <w:t>maintained in accordance with Regulation 27 of the SFR (requires the custody account to be maintained with certain specified institutions only)</w:t>
            </w:r>
            <w:r>
              <w:rPr>
                <w:rFonts w:cs="Arial"/>
              </w:rPr>
              <w:t>; or</w:t>
            </w:r>
          </w:p>
          <w:p w:rsidR="005F4344" w:rsidRDefault="005F4344" w:rsidP="0067567D">
            <w:pPr>
              <w:pStyle w:val="ListParagraph"/>
              <w:numPr>
                <w:ilvl w:val="0"/>
                <w:numId w:val="18"/>
              </w:numPr>
              <w:ind w:left="383"/>
              <w:jc w:val="both"/>
              <w:rPr>
                <w:rFonts w:cs="Arial"/>
              </w:rPr>
            </w:pPr>
            <w:r>
              <w:rPr>
                <w:rFonts w:cs="Arial"/>
              </w:rPr>
              <w:t xml:space="preserve">Deposit into account directed by retail customer to which retail customer has legal and beneficial title and maintained with, inter alia, licensed banks, merchant banks or finance companies or </w:t>
            </w:r>
            <w:r>
              <w:rPr>
                <w:rFonts w:cs="Arial"/>
              </w:rPr>
              <w:lastRenderedPageBreak/>
              <w:t>banks established and regulated as banks outside Singapore</w:t>
            </w:r>
          </w:p>
        </w:tc>
        <w:tc>
          <w:tcPr>
            <w:tcW w:w="2928" w:type="dxa"/>
          </w:tcPr>
          <w:p w:rsidR="005F4344" w:rsidRDefault="005F4344" w:rsidP="0067567D">
            <w:pPr>
              <w:pStyle w:val="ListParagraph"/>
              <w:numPr>
                <w:ilvl w:val="0"/>
                <w:numId w:val="18"/>
              </w:numPr>
              <w:ind w:left="383"/>
              <w:jc w:val="both"/>
              <w:rPr>
                <w:rFonts w:cs="Arial"/>
              </w:rPr>
            </w:pPr>
            <w:r>
              <w:rPr>
                <w:rFonts w:cs="Arial"/>
              </w:rPr>
              <w:lastRenderedPageBreak/>
              <w:t>Deposit into a custody account</w:t>
            </w:r>
            <w:r w:rsidR="0018489B">
              <w:rPr>
                <w:rFonts w:cs="Arial"/>
              </w:rPr>
              <w:t xml:space="preserve"> maintained in accordance with Regulation 27 of the SFR (requires the custody account to be maintained with certain specified institutions only)</w:t>
            </w:r>
            <w:r>
              <w:rPr>
                <w:rFonts w:cs="Arial"/>
              </w:rPr>
              <w:t>; or</w:t>
            </w:r>
          </w:p>
          <w:p w:rsidR="005F4344" w:rsidRDefault="005F4344" w:rsidP="0067567D">
            <w:pPr>
              <w:pStyle w:val="ListParagraph"/>
              <w:numPr>
                <w:ilvl w:val="0"/>
                <w:numId w:val="18"/>
              </w:numPr>
              <w:ind w:left="383"/>
              <w:jc w:val="both"/>
              <w:rPr>
                <w:rFonts w:cs="Arial"/>
              </w:rPr>
            </w:pPr>
            <w:r>
              <w:rPr>
                <w:rFonts w:cs="Arial"/>
              </w:rPr>
              <w:t>Deposit into account directed by accredited investor</w:t>
            </w:r>
          </w:p>
          <w:p w:rsidR="005F4344" w:rsidRDefault="005F4344" w:rsidP="0067567D">
            <w:pPr>
              <w:pStyle w:val="ListParagraph"/>
              <w:ind w:left="383"/>
              <w:jc w:val="both"/>
              <w:rPr>
                <w:rFonts w:cs="Arial"/>
              </w:rPr>
            </w:pPr>
          </w:p>
        </w:tc>
      </w:tr>
      <w:tr w:rsidR="005F4344" w:rsidTr="0067567D">
        <w:tc>
          <w:tcPr>
            <w:tcW w:w="2936" w:type="dxa"/>
          </w:tcPr>
          <w:p w:rsidR="005F4344" w:rsidRDefault="005F4344" w:rsidP="0067567D">
            <w:pPr>
              <w:pStyle w:val="ListParagraph"/>
              <w:ind w:left="0"/>
              <w:jc w:val="both"/>
              <w:rPr>
                <w:rFonts w:cs="Arial"/>
                <w:b/>
              </w:rPr>
            </w:pPr>
            <w:r>
              <w:rPr>
                <w:rFonts w:cs="Arial"/>
                <w:b/>
              </w:rPr>
              <w:lastRenderedPageBreak/>
              <w:t>Mortgage of customer’s assets – CMSL holder may mortgage, charge, pledge or hypothecate customer’s assets for a sum not exceeding the amount owed by the customer to the holder</w:t>
            </w:r>
            <w:r w:rsidR="00A323C8">
              <w:rPr>
                <w:rStyle w:val="FootnoteReference"/>
                <w:rFonts w:cs="Arial"/>
                <w:b/>
              </w:rPr>
              <w:footnoteReference w:id="11"/>
            </w:r>
          </w:p>
        </w:tc>
        <w:tc>
          <w:tcPr>
            <w:tcW w:w="2928" w:type="dxa"/>
          </w:tcPr>
          <w:p w:rsidR="005F4344" w:rsidRDefault="005F4344" w:rsidP="0067567D">
            <w:pPr>
              <w:pStyle w:val="ListParagraph"/>
              <w:numPr>
                <w:ilvl w:val="0"/>
                <w:numId w:val="18"/>
              </w:numPr>
              <w:ind w:left="383"/>
              <w:jc w:val="both"/>
              <w:rPr>
                <w:rFonts w:cs="Arial"/>
              </w:rPr>
            </w:pPr>
            <w:r>
              <w:rPr>
                <w:rFonts w:cs="Arial"/>
              </w:rPr>
              <w:t xml:space="preserve">Prior to doing so, CMSL holder must inform the retail customer of this right, explain the risks and obtain written consent of the retail customer </w:t>
            </w:r>
          </w:p>
        </w:tc>
        <w:tc>
          <w:tcPr>
            <w:tcW w:w="2928" w:type="dxa"/>
          </w:tcPr>
          <w:p w:rsidR="005F4344" w:rsidRDefault="005F4344" w:rsidP="0067567D">
            <w:pPr>
              <w:pStyle w:val="ListParagraph"/>
              <w:numPr>
                <w:ilvl w:val="0"/>
                <w:numId w:val="18"/>
              </w:numPr>
              <w:ind w:left="383"/>
              <w:jc w:val="both"/>
              <w:rPr>
                <w:rFonts w:cs="Arial"/>
              </w:rPr>
            </w:pPr>
            <w:r>
              <w:rPr>
                <w:rFonts w:cs="Arial"/>
              </w:rPr>
              <w:t>No equivalent requirement</w:t>
            </w:r>
            <w:r w:rsidR="00621E2D">
              <w:rPr>
                <w:rFonts w:cs="Arial"/>
              </w:rPr>
              <w:t xml:space="preserve"> to inform, explain risks or obtain written consent of accredited investor</w:t>
            </w:r>
          </w:p>
        </w:tc>
      </w:tr>
    </w:tbl>
    <w:p w:rsidR="005F4344" w:rsidRDefault="005F4344" w:rsidP="005F4344">
      <w:pPr>
        <w:pStyle w:val="ListParagraph"/>
        <w:ind w:left="450"/>
        <w:jc w:val="both"/>
        <w:rPr>
          <w:rFonts w:cs="Arial"/>
        </w:rPr>
      </w:pPr>
    </w:p>
    <w:p w:rsidR="005F4344" w:rsidRDefault="005F4344" w:rsidP="005F4344">
      <w:pPr>
        <w:pStyle w:val="ListParagraph"/>
        <w:ind w:left="450"/>
        <w:jc w:val="both"/>
        <w:rPr>
          <w:rFonts w:eastAsia="Times New Roman"/>
          <w:b/>
          <w:i/>
        </w:rPr>
      </w:pPr>
      <w:r w:rsidRPr="00235582">
        <w:rPr>
          <w:rFonts w:eastAsia="Times New Roman"/>
          <w:b/>
          <w:i/>
        </w:rPr>
        <w:t>W</w:t>
      </w:r>
      <w:r w:rsidRPr="00235582">
        <w:rPr>
          <w:rFonts w:eastAsia="Times New Roman" w:cs="Arial"/>
          <w:b/>
          <w:i/>
        </w:rPr>
        <w:t xml:space="preserve">hen we deal with you as an accredited investor, </w:t>
      </w:r>
      <w:r w:rsidRPr="00D65F91">
        <w:rPr>
          <w:rFonts w:cs="Arial"/>
          <w:b/>
          <w:i/>
        </w:rPr>
        <w:t>we are exempt from</w:t>
      </w:r>
      <w:r>
        <w:rPr>
          <w:rFonts w:cs="Arial"/>
          <w:b/>
          <w:i/>
        </w:rPr>
        <w:t xml:space="preserve"> treating you as a “retail investor” in relation to certain requirements stipulated under Part III of the SFR pertaining to the treatment of a retail customer’s moneys and assets. </w:t>
      </w:r>
      <w:r w:rsidRPr="00235582">
        <w:rPr>
          <w:rFonts w:eastAsia="Times New Roman"/>
          <w:b/>
          <w:i/>
        </w:rPr>
        <w:t>You are therefore not protected by th</w:t>
      </w:r>
      <w:r>
        <w:rPr>
          <w:rFonts w:eastAsia="Times New Roman"/>
          <w:b/>
          <w:i/>
        </w:rPr>
        <w:t>ose requirements</w:t>
      </w:r>
      <w:r w:rsidRPr="00235582">
        <w:rPr>
          <w:rFonts w:eastAsia="Times New Roman"/>
          <w:b/>
          <w:i/>
        </w:rPr>
        <w:t xml:space="preserve"> </w:t>
      </w:r>
      <w:r>
        <w:rPr>
          <w:rFonts w:eastAsia="Times New Roman"/>
          <w:b/>
          <w:i/>
        </w:rPr>
        <w:t>under</w:t>
      </w:r>
      <w:r w:rsidRPr="00235582">
        <w:rPr>
          <w:rFonts w:eastAsia="Times New Roman"/>
          <w:b/>
          <w:i/>
        </w:rPr>
        <w:t xml:space="preserve"> </w:t>
      </w:r>
      <w:r>
        <w:rPr>
          <w:rFonts w:cs="Arial"/>
          <w:b/>
          <w:i/>
        </w:rPr>
        <w:t>Part III</w:t>
      </w:r>
      <w:r w:rsidRPr="00235582">
        <w:rPr>
          <w:rFonts w:cs="Arial"/>
          <w:b/>
          <w:i/>
        </w:rPr>
        <w:t xml:space="preserve"> of the SFR</w:t>
      </w:r>
      <w:r w:rsidRPr="00235582">
        <w:rPr>
          <w:rFonts w:eastAsia="Times New Roman"/>
          <w:b/>
          <w:i/>
        </w:rPr>
        <w:t>.</w:t>
      </w:r>
    </w:p>
    <w:p w:rsidR="005F4344" w:rsidRPr="00E03CD7" w:rsidRDefault="005F4344" w:rsidP="005F4344">
      <w:pPr>
        <w:ind w:left="450" w:right="72"/>
        <w:jc w:val="both"/>
        <w:textAlignment w:val="baseline"/>
        <w:rPr>
          <w:rFonts w:eastAsia="Times New Roman" w:cs="Arial"/>
          <w:b/>
        </w:rPr>
      </w:pPr>
    </w:p>
    <w:p w:rsidR="005F4344" w:rsidRDefault="005F4344" w:rsidP="005F4344">
      <w:pPr>
        <w:numPr>
          <w:ilvl w:val="0"/>
          <w:numId w:val="17"/>
        </w:numPr>
        <w:ind w:right="72" w:hanging="450"/>
        <w:jc w:val="both"/>
        <w:textAlignment w:val="baseline"/>
        <w:rPr>
          <w:rFonts w:eastAsia="Times New Roman" w:cs="Arial"/>
          <w:b/>
        </w:rPr>
      </w:pPr>
      <w:r>
        <w:rPr>
          <w:rFonts w:eastAsia="Times New Roman" w:cs="Arial"/>
          <w:b/>
        </w:rPr>
        <w:t>Regulation 47BA of the SFR.</w:t>
      </w:r>
      <w:r>
        <w:rPr>
          <w:rFonts w:eastAsia="Times New Roman"/>
        </w:rPr>
        <w:t xml:space="preserve"> Regulation 47BA of the SFR provides that a </w:t>
      </w:r>
      <w:r w:rsidRPr="001C588C">
        <w:rPr>
          <w:rFonts w:eastAsia="Times New Roman"/>
        </w:rPr>
        <w:t>CMSL holder</w:t>
      </w:r>
      <w:r>
        <w:rPr>
          <w:rFonts w:eastAsia="Times New Roman"/>
        </w:rPr>
        <w:t xml:space="preserve"> must not deal with a retail customer as an agent when dealing in capital markets products that are </w:t>
      </w:r>
      <w:r w:rsidRPr="00D65F91">
        <w:rPr>
          <w:rFonts w:cs="Arial"/>
        </w:rPr>
        <w:t>over-the-counter derivatives contracts and/or spot foreign exchange contracts for the purposes of leveraged foreign exchange trading</w:t>
      </w:r>
      <w:r>
        <w:rPr>
          <w:rFonts w:cs="Arial"/>
        </w:rPr>
        <w:t xml:space="preserve">. </w:t>
      </w:r>
    </w:p>
    <w:p w:rsidR="005F4344" w:rsidRDefault="005F4344" w:rsidP="005F4344">
      <w:pPr>
        <w:ind w:left="450" w:right="72"/>
        <w:jc w:val="both"/>
        <w:textAlignment w:val="baseline"/>
        <w:rPr>
          <w:rFonts w:eastAsia="Times New Roman" w:cs="Arial"/>
          <w:b/>
        </w:rPr>
      </w:pPr>
    </w:p>
    <w:p w:rsidR="005F4344" w:rsidRDefault="005F4344" w:rsidP="005F4344">
      <w:pPr>
        <w:ind w:left="450" w:right="72"/>
        <w:jc w:val="both"/>
        <w:textAlignment w:val="baseline"/>
        <w:rPr>
          <w:rFonts w:cs="Arial"/>
          <w:b/>
          <w:i/>
        </w:rPr>
      </w:pPr>
      <w:r>
        <w:rPr>
          <w:rFonts w:cs="Arial"/>
          <w:b/>
          <w:i/>
        </w:rPr>
        <w:t xml:space="preserve">When we deal with you as an accredited investor, </w:t>
      </w:r>
      <w:r w:rsidRPr="00235582">
        <w:rPr>
          <w:rFonts w:cs="Arial"/>
          <w:b/>
          <w:i/>
        </w:rPr>
        <w:t xml:space="preserve">we </w:t>
      </w:r>
      <w:r>
        <w:rPr>
          <w:rFonts w:cs="Arial"/>
          <w:b/>
          <w:i/>
        </w:rPr>
        <w:t>are exempt from treating you as a “retail investor” and may therefore</w:t>
      </w:r>
      <w:r w:rsidRPr="00235582">
        <w:rPr>
          <w:rFonts w:cs="Arial"/>
          <w:b/>
          <w:i/>
        </w:rPr>
        <w:t xml:space="preserve"> deal with you as an agent in relation to over-the-counter derivatives contracts and/or spot foreign exchange contracts for the purposes of leveraged foreign exchange trading.</w:t>
      </w:r>
    </w:p>
    <w:p w:rsidR="005F4344" w:rsidRDefault="005F4344" w:rsidP="005F4344">
      <w:pPr>
        <w:ind w:left="450" w:right="72"/>
        <w:jc w:val="both"/>
        <w:textAlignment w:val="baseline"/>
        <w:rPr>
          <w:rFonts w:eastAsia="Times New Roman" w:cs="Arial"/>
          <w:b/>
        </w:rPr>
      </w:pPr>
    </w:p>
    <w:p w:rsidR="005F4344" w:rsidRPr="00D65F91" w:rsidRDefault="005F4344" w:rsidP="005F4344">
      <w:pPr>
        <w:numPr>
          <w:ilvl w:val="0"/>
          <w:numId w:val="17"/>
        </w:numPr>
        <w:ind w:left="426" w:right="72" w:hanging="426"/>
        <w:jc w:val="both"/>
        <w:textAlignment w:val="baseline"/>
        <w:rPr>
          <w:rFonts w:eastAsia="Times New Roman"/>
          <w:b/>
        </w:rPr>
      </w:pPr>
      <w:r>
        <w:rPr>
          <w:rFonts w:eastAsia="Times New Roman" w:cs="Arial"/>
          <w:b/>
        </w:rPr>
        <w:t>Regulation 47E of the SFR.</w:t>
      </w:r>
      <w:r>
        <w:rPr>
          <w:rFonts w:eastAsia="Times New Roman"/>
        </w:rPr>
        <w:t xml:space="preserve"> Regulation </w:t>
      </w:r>
      <w:proofErr w:type="gramStart"/>
      <w:r>
        <w:rPr>
          <w:rFonts w:eastAsia="Times New Roman"/>
        </w:rPr>
        <w:t>47E(</w:t>
      </w:r>
      <w:proofErr w:type="gramEnd"/>
      <w:r>
        <w:rPr>
          <w:rFonts w:eastAsia="Times New Roman"/>
        </w:rPr>
        <w:t xml:space="preserve">1) and (2) of the SFR provide for certain risk disclosure requirements that a </w:t>
      </w:r>
      <w:r w:rsidRPr="001C588C">
        <w:rPr>
          <w:rFonts w:cs="Arial"/>
        </w:rPr>
        <w:t>CMSL holder</w:t>
      </w:r>
      <w:r>
        <w:rPr>
          <w:rFonts w:cs="Arial"/>
        </w:rPr>
        <w:t xml:space="preserve"> </w:t>
      </w:r>
      <w:r>
        <w:rPr>
          <w:rFonts w:eastAsia="Times New Roman"/>
        </w:rPr>
        <w:t xml:space="preserve">that deals in capital markets products and provides fund management services respectively must comply with in relation to trading in </w:t>
      </w:r>
      <w:r w:rsidRPr="00235582">
        <w:rPr>
          <w:rFonts w:eastAsia="Times New Roman"/>
        </w:rPr>
        <w:t>futures contracts, spot foreign exchange contracts for the purposes of leveraged foreign exchange trading, and foreign exchange over-the-counter derivatives contracts</w:t>
      </w:r>
      <w:r>
        <w:rPr>
          <w:rFonts w:eastAsia="Times New Roman"/>
        </w:rPr>
        <w:t xml:space="preserve"> for retail customers that are not related corporations of the </w:t>
      </w:r>
      <w:r w:rsidRPr="001C588C">
        <w:rPr>
          <w:rFonts w:cs="Arial"/>
        </w:rPr>
        <w:t>CMSL holder</w:t>
      </w:r>
      <w:r>
        <w:rPr>
          <w:rFonts w:eastAsia="Times New Roman"/>
        </w:rPr>
        <w:t>.</w:t>
      </w:r>
    </w:p>
    <w:p w:rsidR="005F4344" w:rsidRDefault="005F4344" w:rsidP="005F4344">
      <w:pPr>
        <w:ind w:left="426" w:right="72"/>
        <w:jc w:val="both"/>
        <w:textAlignment w:val="baseline"/>
        <w:rPr>
          <w:rFonts w:eastAsia="Times New Roman" w:cs="Arial"/>
          <w:b/>
        </w:rPr>
      </w:pPr>
    </w:p>
    <w:p w:rsidR="005F4344" w:rsidRDefault="005F4344" w:rsidP="005F4344">
      <w:pPr>
        <w:ind w:left="426" w:right="72"/>
        <w:jc w:val="both"/>
        <w:textAlignment w:val="baseline"/>
        <w:rPr>
          <w:rFonts w:eastAsia="Times New Roman"/>
        </w:rPr>
      </w:pPr>
      <w:r>
        <w:rPr>
          <w:rFonts w:eastAsia="Times New Roman"/>
        </w:rPr>
        <w:t xml:space="preserve">A </w:t>
      </w:r>
      <w:r w:rsidRPr="001C588C">
        <w:rPr>
          <w:rFonts w:cs="Arial"/>
        </w:rPr>
        <w:t>CMSL holder</w:t>
      </w:r>
      <w:r>
        <w:rPr>
          <w:rFonts w:cs="Arial"/>
        </w:rPr>
        <w:t xml:space="preserve"> </w:t>
      </w:r>
      <w:r>
        <w:rPr>
          <w:rFonts w:eastAsia="Times New Roman"/>
        </w:rPr>
        <w:t>that deals in capital markets products must not open a trading account for a retail customer who is not its related corporation for the purpose of entering into transactions of sale and purchase of the abovementioned capital markets products unless it has furnished the customer with a written risk disclosure document disclosing the material risks of the specified capital markets products in a prescribed form (Form 13), and receives an acknowledgement signed and dated by the customer that he has received and understood the nature and contents of the Form 13.</w:t>
      </w:r>
    </w:p>
    <w:p w:rsidR="005F4344" w:rsidRDefault="005F4344" w:rsidP="005F4344">
      <w:pPr>
        <w:ind w:left="426" w:right="72"/>
        <w:jc w:val="both"/>
        <w:textAlignment w:val="baseline"/>
        <w:rPr>
          <w:rFonts w:eastAsia="Times New Roman"/>
        </w:rPr>
      </w:pPr>
    </w:p>
    <w:p w:rsidR="005F4344" w:rsidRDefault="005F4344" w:rsidP="005F4344">
      <w:pPr>
        <w:ind w:left="426" w:right="72"/>
        <w:jc w:val="both"/>
        <w:textAlignment w:val="baseline"/>
        <w:rPr>
          <w:rFonts w:eastAsia="Times New Roman"/>
        </w:rPr>
      </w:pPr>
      <w:r>
        <w:rPr>
          <w:rFonts w:eastAsia="Times New Roman"/>
        </w:rPr>
        <w:t xml:space="preserve">A </w:t>
      </w:r>
      <w:r w:rsidRPr="001C588C">
        <w:rPr>
          <w:rFonts w:cs="Arial"/>
        </w:rPr>
        <w:t>CMSL holder</w:t>
      </w:r>
      <w:r>
        <w:rPr>
          <w:rFonts w:cs="Arial"/>
        </w:rPr>
        <w:t xml:space="preserve"> that provides </w:t>
      </w:r>
      <w:r>
        <w:rPr>
          <w:rFonts w:eastAsia="Times New Roman"/>
        </w:rPr>
        <w:t xml:space="preserve">fund management services shall not solicit or enter into an agreement with a prospective retail customer who is not its related corporation for the purpose </w:t>
      </w:r>
      <w:r>
        <w:rPr>
          <w:rFonts w:eastAsia="Times New Roman"/>
        </w:rPr>
        <w:lastRenderedPageBreak/>
        <w:t xml:space="preserve">of managing or guiding the retail customer’s trading account for the purposes of </w:t>
      </w:r>
      <w:r w:rsidRPr="00235582">
        <w:rPr>
          <w:rFonts w:eastAsia="Times New Roman"/>
        </w:rPr>
        <w:t>futures contracts, spot foreign exchange contracts for the purposes of leveraged foreign exchange trading, and foreign exchange over-the-counter derivatives contracts</w:t>
      </w:r>
      <w:r>
        <w:rPr>
          <w:rFonts w:eastAsia="Times New Roman"/>
        </w:rPr>
        <w:t xml:space="preserve"> by means of a systematic programme that recommends specific transactions unless it has delivered the prospective retail customer with a written risk disclosure document in a prescribed form (Form 14), and received an acknowledgement signed and dated by the prospective retail customer that he has received and understood the nature and contents of the Form 14.</w:t>
      </w:r>
    </w:p>
    <w:p w:rsidR="005F4344" w:rsidRDefault="005F4344" w:rsidP="005F4344">
      <w:pPr>
        <w:ind w:left="426" w:right="72"/>
        <w:jc w:val="both"/>
        <w:textAlignment w:val="baseline"/>
        <w:rPr>
          <w:rFonts w:eastAsia="Times New Roman"/>
        </w:rPr>
      </w:pPr>
    </w:p>
    <w:p w:rsidR="005F4344" w:rsidRDefault="005F4344" w:rsidP="005F4344">
      <w:pPr>
        <w:ind w:left="426" w:right="72"/>
        <w:jc w:val="both"/>
        <w:textAlignment w:val="baseline"/>
        <w:rPr>
          <w:rFonts w:eastAsia="Times New Roman"/>
        </w:rPr>
      </w:pPr>
      <w:r>
        <w:rPr>
          <w:rFonts w:eastAsia="Times New Roman"/>
        </w:rPr>
        <w:t>Regulation 47E also specifies that copies of Forms 13 and 14 are kept in Singapore.</w:t>
      </w:r>
    </w:p>
    <w:p w:rsidR="005F4344" w:rsidRPr="00235582" w:rsidRDefault="005F4344" w:rsidP="005F4344">
      <w:pPr>
        <w:ind w:left="426" w:right="72"/>
        <w:jc w:val="both"/>
        <w:textAlignment w:val="baseline"/>
        <w:rPr>
          <w:rFonts w:eastAsia="Times New Roman"/>
          <w:b/>
        </w:rPr>
      </w:pPr>
    </w:p>
    <w:p w:rsidR="005F4344" w:rsidRDefault="005F4344" w:rsidP="005F4344">
      <w:pPr>
        <w:pStyle w:val="ListParagraph"/>
        <w:ind w:left="450" w:right="72"/>
        <w:jc w:val="both"/>
        <w:textAlignment w:val="baseline"/>
      </w:pPr>
      <w:r w:rsidRPr="00235582">
        <w:rPr>
          <w:rFonts w:eastAsia="Times New Roman"/>
          <w:b/>
          <w:i/>
        </w:rPr>
        <w:t xml:space="preserve">When we deal with you as an accredited investor, we are not under any statutory obligation to provide you with </w:t>
      </w:r>
      <w:r>
        <w:rPr>
          <w:rFonts w:eastAsia="Times New Roman"/>
          <w:b/>
          <w:i/>
        </w:rPr>
        <w:t>the risk disclosures</w:t>
      </w:r>
      <w:r w:rsidRPr="00235582">
        <w:rPr>
          <w:rFonts w:eastAsia="Times New Roman"/>
          <w:b/>
          <w:i/>
        </w:rPr>
        <w:t xml:space="preserve"> in the manner contemplated under Regulation 47</w:t>
      </w:r>
      <w:r>
        <w:rPr>
          <w:rFonts w:eastAsia="Times New Roman"/>
          <w:b/>
          <w:i/>
        </w:rPr>
        <w:t>E</w:t>
      </w:r>
      <w:r w:rsidRPr="00235582">
        <w:rPr>
          <w:rFonts w:eastAsia="Times New Roman"/>
          <w:b/>
          <w:i/>
        </w:rPr>
        <w:t xml:space="preserve"> of the SFR. You are therefore not protected by the </w:t>
      </w:r>
      <w:r>
        <w:rPr>
          <w:rFonts w:eastAsia="Times New Roman"/>
          <w:b/>
          <w:i/>
        </w:rPr>
        <w:t xml:space="preserve">risk disclosure </w:t>
      </w:r>
      <w:r w:rsidRPr="00235582">
        <w:rPr>
          <w:rFonts w:eastAsia="Times New Roman"/>
          <w:b/>
          <w:i/>
        </w:rPr>
        <w:t>requirements under Regulation 47</w:t>
      </w:r>
      <w:r>
        <w:rPr>
          <w:rFonts w:eastAsia="Times New Roman"/>
          <w:b/>
          <w:i/>
        </w:rPr>
        <w:t>E</w:t>
      </w:r>
      <w:r w:rsidRPr="00235582">
        <w:rPr>
          <w:rFonts w:eastAsia="Times New Roman"/>
          <w:b/>
          <w:i/>
        </w:rPr>
        <w:t xml:space="preserve"> of the SFR.</w:t>
      </w:r>
    </w:p>
    <w:p w:rsidR="005F4344" w:rsidRPr="00E03CD7" w:rsidRDefault="005F4344" w:rsidP="005F4344">
      <w:pPr>
        <w:ind w:left="450" w:right="72"/>
        <w:jc w:val="both"/>
        <w:textAlignment w:val="baseline"/>
        <w:rPr>
          <w:rFonts w:eastAsia="Times New Roman" w:cs="Arial"/>
          <w:b/>
        </w:rPr>
      </w:pPr>
    </w:p>
    <w:p w:rsidR="005F4344" w:rsidRPr="00D65F91" w:rsidRDefault="005F4344" w:rsidP="005F4344">
      <w:pPr>
        <w:numPr>
          <w:ilvl w:val="0"/>
          <w:numId w:val="17"/>
        </w:numPr>
        <w:ind w:right="72" w:hanging="450"/>
        <w:jc w:val="both"/>
        <w:textAlignment w:val="baseline"/>
        <w:rPr>
          <w:rFonts w:eastAsia="Times New Roman" w:cs="Arial"/>
          <w:b/>
        </w:rPr>
      </w:pPr>
      <w:r w:rsidRPr="00D65F91">
        <w:rPr>
          <w:rFonts w:eastAsia="Times New Roman"/>
          <w:b/>
        </w:rPr>
        <w:t xml:space="preserve">Section </w:t>
      </w:r>
      <w:proofErr w:type="gramStart"/>
      <w:r w:rsidRPr="00D65F91">
        <w:rPr>
          <w:rFonts w:eastAsia="Times New Roman"/>
          <w:b/>
        </w:rPr>
        <w:t>99H(</w:t>
      </w:r>
      <w:proofErr w:type="gramEnd"/>
      <w:r w:rsidRPr="00D65F91">
        <w:rPr>
          <w:rFonts w:eastAsia="Times New Roman"/>
          <w:b/>
        </w:rPr>
        <w:t>1)(c) of the SFA read with Regulations 3A(5)(c), (d)</w:t>
      </w:r>
      <w:r>
        <w:rPr>
          <w:rFonts w:eastAsia="Times New Roman"/>
          <w:b/>
        </w:rPr>
        <w:t>,</w:t>
      </w:r>
      <w:r w:rsidRPr="00D65F91">
        <w:rPr>
          <w:rFonts w:eastAsia="Times New Roman"/>
          <w:b/>
        </w:rPr>
        <w:t xml:space="preserve"> (e)</w:t>
      </w:r>
      <w:r>
        <w:rPr>
          <w:rFonts w:eastAsia="Times New Roman"/>
          <w:b/>
        </w:rPr>
        <w:t xml:space="preserve"> and (7)</w:t>
      </w:r>
      <w:r w:rsidRPr="00D65F91">
        <w:rPr>
          <w:rFonts w:eastAsia="Times New Roman"/>
          <w:b/>
        </w:rPr>
        <w:t xml:space="preserve"> of the SFR. </w:t>
      </w:r>
      <w:r w:rsidRPr="00D65F91">
        <w:rPr>
          <w:rFonts w:eastAsia="Times New Roman"/>
        </w:rPr>
        <w:t xml:space="preserve">Section 99H(1)(c) of the SFA read with Regulations 3A(5)(c), (d) and (e) of the SFR provide that where a principal wishes to appoint an individual as a provisional representative or temporary representative in respect of any SFA regulated activity, </w:t>
      </w:r>
      <w:r>
        <w:rPr>
          <w:rFonts w:eastAsia="Times New Roman"/>
        </w:rPr>
        <w:t>the</w:t>
      </w:r>
      <w:r w:rsidRPr="00D65F91">
        <w:rPr>
          <w:rFonts w:eastAsia="Times New Roman"/>
        </w:rPr>
        <w:t xml:space="preserve"> principal is required to lodge with the MAS an undertaking to ensure that (</w:t>
      </w:r>
      <w:proofErr w:type="spellStart"/>
      <w:r w:rsidRPr="00D65F91">
        <w:rPr>
          <w:rFonts w:eastAsia="Times New Roman"/>
        </w:rPr>
        <w:t>i</w:t>
      </w:r>
      <w:proofErr w:type="spellEnd"/>
      <w:r w:rsidRPr="00D65F91">
        <w:rPr>
          <w:rFonts w:eastAsia="Times New Roman"/>
        </w:rPr>
        <w:t xml:space="preserve">) the provisional representative or temporary representative is accompanied at all times by an authorised person when meeting any client or member of the public in the course of carrying on business in any SFA regulated activity, (ii) the provisional representative or temporary representative sends concurrently to an authorised person all electronic mail that he sends to any client or member of the public in the course of carrying on business in any SFA regulated activity and (iii) the provisional representative or temporary representative </w:t>
      </w:r>
      <w:r w:rsidRPr="00D65F91">
        <w:rPr>
          <w:color w:val="000000"/>
          <w:lang w:val="en"/>
        </w:rPr>
        <w:t xml:space="preserve">does not communicate by telephone with any client or member of the public </w:t>
      </w:r>
      <w:r w:rsidRPr="00D65F91">
        <w:rPr>
          <w:rFonts w:eastAsia="Times New Roman"/>
        </w:rPr>
        <w:t>in the course of carrying on business in any SFA regulated activity</w:t>
      </w:r>
      <w:r w:rsidRPr="00D65F91">
        <w:rPr>
          <w:color w:val="000000"/>
          <w:lang w:val="en"/>
        </w:rPr>
        <w:t xml:space="preserve">, other than by telephone conference in the presence of an </w:t>
      </w:r>
      <w:proofErr w:type="spellStart"/>
      <w:r w:rsidRPr="00D65F91">
        <w:rPr>
          <w:color w:val="000000"/>
          <w:lang w:val="en"/>
        </w:rPr>
        <w:t>authorised</w:t>
      </w:r>
      <w:proofErr w:type="spellEnd"/>
      <w:r w:rsidRPr="00D65F91">
        <w:rPr>
          <w:color w:val="000000"/>
          <w:lang w:val="en"/>
        </w:rPr>
        <w:t xml:space="preserve"> person</w:t>
      </w:r>
      <w:r w:rsidRPr="00D65F91">
        <w:rPr>
          <w:rFonts w:eastAsia="Times New Roman"/>
        </w:rPr>
        <w:t xml:space="preserve">. An “authorised person” for these purposes refers to an appointed representative or a director of the principal, an officer of the principal whose primary function is to ensure that the carrying on of business in the SFA regulated activity in question complies with the applicable laws and requirements of the MAS or an officer of the principal appointed to supervise the representative in carrying on of business in the SFA regulated activity. </w:t>
      </w:r>
    </w:p>
    <w:p w:rsidR="005F4344" w:rsidRPr="00D65F91" w:rsidRDefault="005F4344" w:rsidP="005F4344">
      <w:pPr>
        <w:ind w:left="426" w:right="72"/>
        <w:jc w:val="both"/>
        <w:textAlignment w:val="baseline"/>
        <w:rPr>
          <w:rFonts w:eastAsia="Times New Roman" w:cs="Arial"/>
          <w:b/>
        </w:rPr>
      </w:pPr>
    </w:p>
    <w:p w:rsidR="005F4344" w:rsidRDefault="005F4344" w:rsidP="005F4344">
      <w:pPr>
        <w:ind w:left="426" w:right="72"/>
        <w:jc w:val="both"/>
        <w:textAlignment w:val="baseline"/>
        <w:rPr>
          <w:rFonts w:eastAsia="Times New Roman"/>
          <w:b/>
          <w:i/>
        </w:rPr>
      </w:pPr>
      <w:r w:rsidRPr="00D65F91">
        <w:rPr>
          <w:rFonts w:eastAsia="Times New Roman"/>
          <w:b/>
          <w:i/>
        </w:rPr>
        <w:t>W</w:t>
      </w:r>
      <w:r w:rsidRPr="00D65F91">
        <w:rPr>
          <w:rFonts w:eastAsia="Times New Roman" w:cs="Arial"/>
          <w:b/>
          <w:i/>
        </w:rPr>
        <w:t xml:space="preserve">hen we deal with you as an accredited investor, we are not under any statutory obligation to </w:t>
      </w:r>
      <w:r w:rsidRPr="00D65F91">
        <w:rPr>
          <w:rFonts w:eastAsia="Times New Roman"/>
          <w:b/>
          <w:i/>
        </w:rPr>
        <w:t xml:space="preserve">restrict the interactions with </w:t>
      </w:r>
      <w:r>
        <w:rPr>
          <w:rFonts w:eastAsia="Times New Roman"/>
          <w:b/>
          <w:i/>
        </w:rPr>
        <w:t>you</w:t>
      </w:r>
      <w:r w:rsidRPr="00D65F91">
        <w:rPr>
          <w:rFonts w:eastAsia="Times New Roman"/>
          <w:b/>
          <w:i/>
        </w:rPr>
        <w:t xml:space="preserve"> that may be undertaken by our provisional representatives or temporary representatives in the course of carrying on business in any SFA regulated activity in the manner set out in Regulations </w:t>
      </w:r>
      <w:proofErr w:type="gramStart"/>
      <w:r w:rsidRPr="009C0179">
        <w:rPr>
          <w:rFonts w:eastAsia="Times New Roman"/>
          <w:b/>
          <w:i/>
        </w:rPr>
        <w:t>3A(</w:t>
      </w:r>
      <w:proofErr w:type="gramEnd"/>
      <w:r w:rsidRPr="009C0179">
        <w:rPr>
          <w:rFonts w:eastAsia="Times New Roman"/>
          <w:b/>
          <w:i/>
        </w:rPr>
        <w:t>5)(c), (d) and (e)</w:t>
      </w:r>
      <w:r w:rsidRPr="00D65F91">
        <w:rPr>
          <w:rFonts w:eastAsia="Times New Roman"/>
          <w:b/>
          <w:i/>
        </w:rPr>
        <w:t xml:space="preserve"> of the SFR. You are therefore not protected by the requirements of Section </w:t>
      </w:r>
      <w:proofErr w:type="gramStart"/>
      <w:r w:rsidRPr="00D65F91">
        <w:rPr>
          <w:rFonts w:eastAsia="Times New Roman"/>
          <w:b/>
          <w:i/>
        </w:rPr>
        <w:t>99H(</w:t>
      </w:r>
      <w:proofErr w:type="gramEnd"/>
      <w:r w:rsidRPr="00D65F91">
        <w:rPr>
          <w:rFonts w:eastAsia="Times New Roman"/>
          <w:b/>
          <w:i/>
        </w:rPr>
        <w:t>1)(c) of the SFA read with Regulations 3A(5)(c), (d) and (e) of the SFR.</w:t>
      </w:r>
    </w:p>
    <w:p w:rsidR="005F4344" w:rsidRPr="00EE049A" w:rsidRDefault="005F4344" w:rsidP="005F4344">
      <w:pPr>
        <w:ind w:left="426" w:right="72"/>
        <w:jc w:val="both"/>
        <w:textAlignment w:val="baseline"/>
        <w:rPr>
          <w:rFonts w:eastAsia="Times New Roman"/>
          <w:b/>
        </w:rPr>
      </w:pPr>
    </w:p>
    <w:p w:rsidR="005F4344" w:rsidRPr="002F3367" w:rsidRDefault="005F4344" w:rsidP="005F4344">
      <w:pPr>
        <w:numPr>
          <w:ilvl w:val="0"/>
          <w:numId w:val="17"/>
        </w:numPr>
        <w:ind w:right="72" w:hanging="450"/>
        <w:jc w:val="both"/>
        <w:textAlignment w:val="baseline"/>
        <w:rPr>
          <w:rFonts w:eastAsia="Times New Roman"/>
          <w:b/>
        </w:rPr>
      </w:pPr>
      <w:r w:rsidRPr="00D65F91">
        <w:rPr>
          <w:rFonts w:cs="Arial"/>
          <w:b/>
        </w:rPr>
        <w:t xml:space="preserve">Regulation 7 of the SFR. </w:t>
      </w:r>
      <w:r w:rsidRPr="00D65F91">
        <w:rPr>
          <w:rFonts w:cs="Arial"/>
        </w:rPr>
        <w:t xml:space="preserve">Regulation 7 of the SFR provides that a </w:t>
      </w:r>
      <w:r>
        <w:rPr>
          <w:rFonts w:cs="Arial"/>
        </w:rPr>
        <w:t>CMSL</w:t>
      </w:r>
      <w:r w:rsidRPr="00D65F91">
        <w:rPr>
          <w:rFonts w:cs="Arial"/>
        </w:rPr>
        <w:t xml:space="preserve"> holder for dealing in </w:t>
      </w:r>
      <w:r>
        <w:rPr>
          <w:rFonts w:cs="Arial"/>
        </w:rPr>
        <w:t>capital markets products that are specified products</w:t>
      </w:r>
      <w:r w:rsidRPr="00D65F91">
        <w:rPr>
          <w:rFonts w:cs="Arial"/>
        </w:rPr>
        <w:t xml:space="preserve"> (other than a member of </w:t>
      </w:r>
      <w:r>
        <w:rPr>
          <w:rFonts w:cs="Arial"/>
        </w:rPr>
        <w:t xml:space="preserve">an approved exchange (such as </w:t>
      </w:r>
      <w:r w:rsidRPr="00D65F91">
        <w:rPr>
          <w:rFonts w:cs="Arial"/>
        </w:rPr>
        <w:t xml:space="preserve">Singapore Exchange Securities Trading Limited) is required to lodge with the MAS a deposit of S$100,000 for the duration of its licence, where the deposit shall be applied by the MAS for the purpose of compensating any person </w:t>
      </w:r>
      <w:r w:rsidRPr="009C0179">
        <w:rPr>
          <w:rFonts w:cs="Arial"/>
        </w:rPr>
        <w:t xml:space="preserve">(other than an accredited </w:t>
      </w:r>
      <w:r w:rsidRPr="009C0179">
        <w:rPr>
          <w:rFonts w:cs="Arial"/>
        </w:rPr>
        <w:lastRenderedPageBreak/>
        <w:t>investor</w:t>
      </w:r>
      <w:r>
        <w:rPr>
          <w:rFonts w:cs="Arial"/>
        </w:rPr>
        <w:t>, expert investor or institutional investor</w:t>
      </w:r>
      <w:r w:rsidRPr="009C0179">
        <w:rPr>
          <w:rFonts w:cs="Arial"/>
        </w:rPr>
        <w:t xml:space="preserve">) </w:t>
      </w:r>
      <w:r w:rsidRPr="00D65F91">
        <w:rPr>
          <w:rFonts w:cs="Arial"/>
        </w:rPr>
        <w:t xml:space="preserve">who suffers pecuniary loss as a result of any defalcation committed by the </w:t>
      </w:r>
      <w:r w:rsidR="00AB57BB">
        <w:rPr>
          <w:rFonts w:cs="Arial"/>
        </w:rPr>
        <w:t>CMSL</w:t>
      </w:r>
      <w:r w:rsidRPr="00D65F91">
        <w:rPr>
          <w:rFonts w:cs="Arial"/>
        </w:rPr>
        <w:t xml:space="preserve"> holder or any of its agents in relation to any money or other property which, in the course of or in connection with its business in dealing in </w:t>
      </w:r>
      <w:r>
        <w:rPr>
          <w:rFonts w:cs="Arial"/>
        </w:rPr>
        <w:t>capital markets products that are specified products</w:t>
      </w:r>
      <w:r w:rsidRPr="00D65F91">
        <w:rPr>
          <w:rFonts w:cs="Arial"/>
        </w:rPr>
        <w:t xml:space="preserve"> was (</w:t>
      </w:r>
      <w:proofErr w:type="spellStart"/>
      <w:r w:rsidRPr="00D65F91">
        <w:rPr>
          <w:rFonts w:cs="Arial"/>
        </w:rPr>
        <w:t>i</w:t>
      </w:r>
      <w:proofErr w:type="spellEnd"/>
      <w:r w:rsidRPr="00D65F91">
        <w:rPr>
          <w:rFonts w:cs="Arial"/>
        </w:rPr>
        <w:t xml:space="preserve">) entrusted to or received by the </w:t>
      </w:r>
      <w:r w:rsidR="00A0727F">
        <w:rPr>
          <w:rFonts w:cs="Arial"/>
        </w:rPr>
        <w:t>CMSL</w:t>
      </w:r>
      <w:r w:rsidRPr="00D65F91">
        <w:rPr>
          <w:rFonts w:cs="Arial"/>
        </w:rPr>
        <w:t xml:space="preserve"> holder or agent for or on behalf of any other person or (ii) entrusted to or received by the </w:t>
      </w:r>
      <w:r w:rsidR="00A0727F">
        <w:rPr>
          <w:rFonts w:cs="Arial"/>
        </w:rPr>
        <w:t>CMSL</w:t>
      </w:r>
      <w:r w:rsidRPr="00D65F91">
        <w:rPr>
          <w:rFonts w:cs="Arial"/>
        </w:rPr>
        <w:t xml:space="preserve"> holder as trustee (whether or not with any other person) of that money or property, or the agent as trustee of, or on behalf of the trustee of, that money or property. </w:t>
      </w:r>
    </w:p>
    <w:p w:rsidR="005F4344" w:rsidRPr="002F3367" w:rsidRDefault="005F4344" w:rsidP="005F4344">
      <w:pPr>
        <w:ind w:left="426" w:right="72"/>
        <w:jc w:val="both"/>
        <w:textAlignment w:val="baseline"/>
        <w:rPr>
          <w:rFonts w:cs="Arial"/>
          <w:b/>
        </w:rPr>
      </w:pPr>
    </w:p>
    <w:p w:rsidR="005F4344" w:rsidRDefault="005F4344" w:rsidP="005F4344">
      <w:pPr>
        <w:ind w:left="426" w:right="72"/>
        <w:jc w:val="both"/>
        <w:textAlignment w:val="baseline"/>
        <w:rPr>
          <w:rFonts w:eastAsia="Times New Roman"/>
          <w:b/>
          <w:i/>
        </w:rPr>
      </w:pPr>
      <w:r w:rsidRPr="00D65F91">
        <w:rPr>
          <w:rFonts w:eastAsia="Times New Roman"/>
          <w:b/>
          <w:i/>
        </w:rPr>
        <w:t>W</w:t>
      </w:r>
      <w:r w:rsidRPr="00D65F91">
        <w:rPr>
          <w:rFonts w:eastAsia="Times New Roman" w:cs="Arial"/>
          <w:b/>
          <w:i/>
        </w:rPr>
        <w:t xml:space="preserve">hen we deal with you as an accredited investor, you would not be able to claim compensation in relation to the deposit we, as a </w:t>
      </w:r>
      <w:r w:rsidR="00A0727F">
        <w:rPr>
          <w:rFonts w:eastAsia="Times New Roman" w:cs="Arial"/>
          <w:b/>
          <w:i/>
        </w:rPr>
        <w:t>CMSL</w:t>
      </w:r>
      <w:r w:rsidRPr="00D65F91">
        <w:rPr>
          <w:rFonts w:eastAsia="Times New Roman" w:cs="Arial"/>
          <w:b/>
          <w:i/>
        </w:rPr>
        <w:t xml:space="preserve"> holder for </w:t>
      </w:r>
      <w:r>
        <w:rPr>
          <w:rFonts w:eastAsia="Times New Roman" w:cs="Arial"/>
          <w:b/>
          <w:i/>
        </w:rPr>
        <w:t>capital markets products that are specified products</w:t>
      </w:r>
      <w:r w:rsidRPr="00D65F91">
        <w:rPr>
          <w:rFonts w:eastAsia="Times New Roman" w:cs="Arial"/>
          <w:b/>
          <w:i/>
        </w:rPr>
        <w:t xml:space="preserve">, have lodged with the MAS, even if you have suffered </w:t>
      </w:r>
      <w:r w:rsidRPr="002F3367">
        <w:rPr>
          <w:rFonts w:eastAsia="Times New Roman" w:cs="Arial"/>
          <w:b/>
          <w:i/>
        </w:rPr>
        <w:t>pecuniary</w:t>
      </w:r>
      <w:r w:rsidRPr="00D65F91">
        <w:rPr>
          <w:rFonts w:eastAsia="Times New Roman" w:cs="Arial"/>
          <w:b/>
          <w:i/>
        </w:rPr>
        <w:t xml:space="preserve"> loss in the manner contemplated in Regulation 7 of the SFR. </w:t>
      </w:r>
      <w:r w:rsidRPr="00D65F91">
        <w:rPr>
          <w:rFonts w:eastAsia="Times New Roman"/>
          <w:b/>
          <w:i/>
        </w:rPr>
        <w:t xml:space="preserve">You are therefore not protected by the requirements of </w:t>
      </w:r>
      <w:r w:rsidRPr="00D65F91">
        <w:rPr>
          <w:rFonts w:eastAsia="Times New Roman" w:cs="Arial"/>
          <w:b/>
          <w:i/>
        </w:rPr>
        <w:t>Regulation 7 of the SFR</w:t>
      </w:r>
      <w:r w:rsidRPr="00D65F91">
        <w:rPr>
          <w:rFonts w:eastAsia="Times New Roman"/>
          <w:b/>
          <w:i/>
        </w:rPr>
        <w:t>.</w:t>
      </w:r>
    </w:p>
    <w:p w:rsidR="005F4344" w:rsidRDefault="005F4344" w:rsidP="005F4344">
      <w:pPr>
        <w:ind w:left="426" w:right="72"/>
        <w:jc w:val="both"/>
        <w:textAlignment w:val="baseline"/>
        <w:rPr>
          <w:rFonts w:eastAsia="Times New Roman"/>
          <w:b/>
        </w:rPr>
      </w:pPr>
    </w:p>
    <w:p w:rsidR="005F4344" w:rsidRPr="00D65F91" w:rsidRDefault="005F4344" w:rsidP="005F4344">
      <w:pPr>
        <w:numPr>
          <w:ilvl w:val="0"/>
          <w:numId w:val="17"/>
        </w:numPr>
        <w:ind w:right="72"/>
        <w:jc w:val="both"/>
        <w:textAlignment w:val="baseline"/>
        <w:rPr>
          <w:rFonts w:eastAsia="Times New Roman"/>
          <w:b/>
        </w:rPr>
      </w:pPr>
      <w:r>
        <w:rPr>
          <w:rFonts w:eastAsia="Times New Roman"/>
          <w:b/>
        </w:rPr>
        <w:t xml:space="preserve">Regulation </w:t>
      </w:r>
      <w:proofErr w:type="gramStart"/>
      <w:r>
        <w:rPr>
          <w:rFonts w:eastAsia="Times New Roman"/>
          <w:b/>
        </w:rPr>
        <w:t>13B(</w:t>
      </w:r>
      <w:proofErr w:type="gramEnd"/>
      <w:r>
        <w:rPr>
          <w:rFonts w:eastAsia="Times New Roman"/>
          <w:b/>
        </w:rPr>
        <w:t>4)(b)(ii) of the SFR.</w:t>
      </w:r>
      <w:r>
        <w:rPr>
          <w:rFonts w:eastAsia="Times New Roman"/>
        </w:rPr>
        <w:t xml:space="preserve"> </w:t>
      </w:r>
      <w:r>
        <w:rPr>
          <w:rFonts w:cs="Arial"/>
        </w:rPr>
        <w:t>Regulation 13B(1)(c) of the SFR requires a CMSL holder for fund management to ensure that assets under its management are subject to independent custody, and to the extent not already segregated under Part III of the SFR, to be segregated from its proprietary assets or the proprietary assets of its related corporations or connected persons.</w:t>
      </w:r>
    </w:p>
    <w:p w:rsidR="005F4344" w:rsidRDefault="005F4344" w:rsidP="005F4344">
      <w:pPr>
        <w:ind w:left="450" w:right="72"/>
        <w:jc w:val="both"/>
        <w:textAlignment w:val="baseline"/>
        <w:rPr>
          <w:rFonts w:eastAsia="Times New Roman"/>
          <w:b/>
        </w:rPr>
      </w:pPr>
    </w:p>
    <w:p w:rsidR="005F4344" w:rsidRPr="009C0179" w:rsidRDefault="005F4344" w:rsidP="005F4344">
      <w:pPr>
        <w:ind w:left="450" w:right="72"/>
        <w:jc w:val="both"/>
        <w:textAlignment w:val="baseline"/>
        <w:rPr>
          <w:rFonts w:eastAsia="Times New Roman"/>
        </w:rPr>
      </w:pPr>
      <w:r>
        <w:rPr>
          <w:rFonts w:eastAsia="Times New Roman"/>
        </w:rPr>
        <w:t xml:space="preserve">Under Regulation </w:t>
      </w:r>
      <w:r w:rsidRPr="001B5D10">
        <w:rPr>
          <w:rFonts w:eastAsia="Times New Roman"/>
        </w:rPr>
        <w:t>13B(4)(b)(ii)</w:t>
      </w:r>
      <w:r>
        <w:rPr>
          <w:rFonts w:eastAsia="Times New Roman"/>
        </w:rPr>
        <w:t xml:space="preserve"> </w:t>
      </w:r>
      <w:r w:rsidRPr="009C0179">
        <w:rPr>
          <w:rFonts w:eastAsia="Times New Roman"/>
        </w:rPr>
        <w:t>of the SFR</w:t>
      </w:r>
      <w:r>
        <w:rPr>
          <w:rFonts w:eastAsia="Times New Roman"/>
        </w:rPr>
        <w:t>, a</w:t>
      </w:r>
      <w:r w:rsidRPr="009C0179">
        <w:rPr>
          <w:rFonts w:eastAsia="Times New Roman"/>
        </w:rPr>
        <w:t xml:space="preserve"> CMSL holder for fund management is exempt from complying with the requirement under Regulation 13B(1)(c) of the SFR when the assets under its management are interests in a closed-end fund or an arrangement constituted in the form of an entity or as a trust on or after 1 July 2013 (which meets certain requirements), where the closed-end fund or arrangement is (</w:t>
      </w:r>
      <w:proofErr w:type="spellStart"/>
      <w:r w:rsidRPr="009C0179">
        <w:rPr>
          <w:rFonts w:eastAsia="Times New Roman"/>
        </w:rPr>
        <w:t>i</w:t>
      </w:r>
      <w:proofErr w:type="spellEnd"/>
      <w:r w:rsidRPr="009C0179">
        <w:rPr>
          <w:rFonts w:eastAsia="Times New Roman"/>
        </w:rPr>
        <w:t>) to be used for private equity or venture capital investments, and (ii) interests in the closed-end fund or arrangement are offered only to accredited investors or institutional investors or both.</w:t>
      </w:r>
    </w:p>
    <w:p w:rsidR="005F4344" w:rsidRDefault="005F4344" w:rsidP="005F4344">
      <w:pPr>
        <w:ind w:left="450" w:right="72"/>
        <w:jc w:val="both"/>
        <w:textAlignment w:val="baseline"/>
        <w:rPr>
          <w:rFonts w:eastAsia="Times New Roman"/>
          <w:b/>
          <w:i/>
        </w:rPr>
      </w:pPr>
    </w:p>
    <w:p w:rsidR="005F4344" w:rsidRDefault="005F4344" w:rsidP="005F4344">
      <w:pPr>
        <w:ind w:left="450" w:right="72"/>
        <w:jc w:val="both"/>
        <w:textAlignment w:val="baseline"/>
        <w:rPr>
          <w:rFonts w:eastAsia="Times New Roman"/>
          <w:b/>
          <w:i/>
        </w:rPr>
      </w:pPr>
      <w:r>
        <w:rPr>
          <w:rFonts w:eastAsia="Times New Roman"/>
          <w:b/>
          <w:i/>
        </w:rPr>
        <w:t xml:space="preserve">When we deal with you as an accredited investor who is an investor in such a closed-end fund or arrangement, and provided we have disclosed this fact to you and arranged for an auditor to audit the assets on an annual basis and furnish a report on the audit to you, we are not under any statutory obligation to subject your assets under our management to independent custody and to segregate them from our proprietary assets and the assets of our related corporations or connected persons. You are therefore not protected by the requirements of Regulation </w:t>
      </w:r>
      <w:proofErr w:type="gramStart"/>
      <w:r>
        <w:rPr>
          <w:rFonts w:eastAsia="Times New Roman"/>
          <w:b/>
          <w:i/>
        </w:rPr>
        <w:t>13B(</w:t>
      </w:r>
      <w:proofErr w:type="gramEnd"/>
      <w:r>
        <w:rPr>
          <w:rFonts w:eastAsia="Times New Roman"/>
          <w:b/>
          <w:i/>
        </w:rPr>
        <w:t>1)(c) of the SFR.</w:t>
      </w:r>
    </w:p>
    <w:p w:rsidR="005F4344" w:rsidRPr="00D65F91" w:rsidRDefault="005F4344" w:rsidP="001C588C">
      <w:pPr>
        <w:ind w:left="426" w:right="72"/>
        <w:jc w:val="both"/>
        <w:textAlignment w:val="baseline"/>
        <w:rPr>
          <w:rFonts w:eastAsia="Times New Roman"/>
          <w:b/>
          <w:i/>
        </w:rPr>
      </w:pPr>
    </w:p>
    <w:p w:rsidR="005F4344" w:rsidRPr="002F3367" w:rsidRDefault="005F4344" w:rsidP="00DD4E0F">
      <w:pPr>
        <w:numPr>
          <w:ilvl w:val="0"/>
          <w:numId w:val="17"/>
        </w:numPr>
        <w:ind w:right="72"/>
        <w:jc w:val="both"/>
        <w:textAlignment w:val="baseline"/>
        <w:rPr>
          <w:rFonts w:eastAsia="Times New Roman"/>
          <w:b/>
        </w:rPr>
      </w:pPr>
      <w:r w:rsidRPr="00D65F91">
        <w:rPr>
          <w:rFonts w:cs="Arial"/>
          <w:b/>
        </w:rPr>
        <w:t xml:space="preserve">Regulation 33 of the SFR. </w:t>
      </w:r>
      <w:r w:rsidRPr="00D65F91">
        <w:rPr>
          <w:rFonts w:cs="Arial"/>
        </w:rPr>
        <w:t>Regulation 33(2) of the SFR</w:t>
      </w:r>
      <w:r w:rsidRPr="00D65F91">
        <w:rPr>
          <w:rFonts w:cs="Arial"/>
          <w:b/>
        </w:rPr>
        <w:t xml:space="preserve"> </w:t>
      </w:r>
      <w:r w:rsidRPr="00D65F91">
        <w:rPr>
          <w:rFonts w:cs="Arial"/>
        </w:rPr>
        <w:t xml:space="preserve">provides that a </w:t>
      </w:r>
      <w:r w:rsidRPr="001C588C">
        <w:rPr>
          <w:rFonts w:cs="Arial"/>
        </w:rPr>
        <w:t>CMSL holder</w:t>
      </w:r>
      <w:r w:rsidRPr="00D65F91">
        <w:rPr>
          <w:rFonts w:cs="Arial"/>
        </w:rPr>
        <w:t xml:space="preserve"> shall not lend or arrange for a custodian to lend the </w:t>
      </w:r>
      <w:r>
        <w:rPr>
          <w:rFonts w:cs="Arial"/>
        </w:rPr>
        <w:t>specified products</w:t>
      </w:r>
      <w:r w:rsidRPr="00D65F91">
        <w:rPr>
          <w:rFonts w:cs="Arial"/>
        </w:rPr>
        <w:t xml:space="preserve"> of the customer unless it has explained the risks involved to the customer</w:t>
      </w:r>
      <w:r>
        <w:rPr>
          <w:rFonts w:cs="Arial"/>
        </w:rPr>
        <w:t xml:space="preserve"> </w:t>
      </w:r>
      <w:r w:rsidR="00DD4E0F">
        <w:rPr>
          <w:rFonts w:cs="Arial"/>
        </w:rPr>
        <w:t>(</w:t>
      </w:r>
      <w:r w:rsidR="00DD4E0F" w:rsidRPr="00DD4E0F">
        <w:rPr>
          <w:rFonts w:cs="Arial"/>
        </w:rPr>
        <w:t>Regulation 33(2)(a)</w:t>
      </w:r>
      <w:r w:rsidR="00DD4E0F">
        <w:rPr>
          <w:rFonts w:cs="Arial"/>
        </w:rPr>
        <w:t>)</w:t>
      </w:r>
      <w:r w:rsidR="00DD4E0F" w:rsidRPr="00DD4E0F">
        <w:rPr>
          <w:rFonts w:cs="Arial"/>
        </w:rPr>
        <w:t xml:space="preserve"> </w:t>
      </w:r>
      <w:r>
        <w:rPr>
          <w:rFonts w:cs="Arial"/>
        </w:rPr>
        <w:t>and obtained the customer’s written consent to do so</w:t>
      </w:r>
      <w:r w:rsidR="00DD4E0F">
        <w:rPr>
          <w:rFonts w:cs="Arial"/>
        </w:rPr>
        <w:t xml:space="preserve"> (Regulation 33(2)(b</w:t>
      </w:r>
      <w:r w:rsidR="00DD4E0F" w:rsidRPr="00DD4E0F">
        <w:rPr>
          <w:rFonts w:cs="Arial"/>
        </w:rPr>
        <w:t>)</w:t>
      </w:r>
      <w:r w:rsidR="00DD4E0F">
        <w:rPr>
          <w:rFonts w:cs="Arial"/>
        </w:rPr>
        <w:t>)</w:t>
      </w:r>
      <w:r w:rsidRPr="00D65F91">
        <w:rPr>
          <w:rFonts w:cs="Arial"/>
        </w:rPr>
        <w:t xml:space="preserve">. </w:t>
      </w:r>
      <w:r>
        <w:rPr>
          <w:rFonts w:cs="Arial"/>
        </w:rPr>
        <w:t>The requirement</w:t>
      </w:r>
      <w:r w:rsidR="002E27E5">
        <w:rPr>
          <w:rFonts w:cs="Arial"/>
        </w:rPr>
        <w:t xml:space="preserve"> to explain the risks involved to the customer</w:t>
      </w:r>
      <w:r>
        <w:rPr>
          <w:rFonts w:cs="Arial"/>
        </w:rPr>
        <w:t xml:space="preserve"> do</w:t>
      </w:r>
      <w:r w:rsidR="002E27E5">
        <w:rPr>
          <w:rFonts w:cs="Arial"/>
        </w:rPr>
        <w:t>es</w:t>
      </w:r>
      <w:r>
        <w:rPr>
          <w:rFonts w:cs="Arial"/>
        </w:rPr>
        <w:t xml:space="preserve"> not apply where the customer is an accredited investor, expert investor or institutional investor. However, regardless of whether the customer is a retail investor or an accredited investor, the </w:t>
      </w:r>
      <w:r w:rsidRPr="001C588C">
        <w:rPr>
          <w:rFonts w:cs="Arial"/>
        </w:rPr>
        <w:t>CMSL holder</w:t>
      </w:r>
      <w:r>
        <w:rPr>
          <w:rFonts w:cs="Arial"/>
        </w:rPr>
        <w:t xml:space="preserve"> shall nevertheless enter into an agreement with the customer to set out the terms and conditions for such lending, or as the case may be, enter into an agreement with the custodian setting out the terms and conditions for the lending and disclose these terms and conditions to the customer.</w:t>
      </w:r>
    </w:p>
    <w:p w:rsidR="005F4344" w:rsidRPr="002F3367" w:rsidRDefault="005F4344" w:rsidP="005F4344">
      <w:pPr>
        <w:ind w:left="426" w:right="72"/>
        <w:jc w:val="both"/>
        <w:textAlignment w:val="baseline"/>
        <w:rPr>
          <w:rFonts w:eastAsia="Times New Roman"/>
          <w:b/>
          <w:i/>
        </w:rPr>
      </w:pPr>
    </w:p>
    <w:p w:rsidR="005F4344" w:rsidRPr="00D65F91" w:rsidRDefault="005F4344" w:rsidP="005F4344">
      <w:pPr>
        <w:ind w:left="450" w:right="72"/>
        <w:jc w:val="both"/>
        <w:textAlignment w:val="baseline"/>
        <w:rPr>
          <w:rFonts w:eastAsia="Times New Roman"/>
          <w:b/>
          <w:i/>
        </w:rPr>
      </w:pPr>
      <w:r>
        <w:rPr>
          <w:rFonts w:eastAsia="Times New Roman"/>
          <w:b/>
          <w:i/>
        </w:rPr>
        <w:t>W</w:t>
      </w:r>
      <w:r w:rsidRPr="00D65F91">
        <w:rPr>
          <w:rFonts w:eastAsia="Times New Roman"/>
          <w:b/>
          <w:i/>
        </w:rPr>
        <w:t xml:space="preserve">hen we deal with you as an accredited investor, we are not under any statutory obligation to explain the risks involved to you prior to us lending or arranging for a custodian to lend your </w:t>
      </w:r>
      <w:r>
        <w:rPr>
          <w:rFonts w:eastAsia="Times New Roman"/>
          <w:b/>
          <w:i/>
        </w:rPr>
        <w:t>specified products</w:t>
      </w:r>
      <w:r w:rsidRPr="00D65F91">
        <w:rPr>
          <w:rFonts w:eastAsia="Times New Roman"/>
          <w:b/>
          <w:i/>
        </w:rPr>
        <w:t xml:space="preserve">. You are therefore not protected by the requirements of </w:t>
      </w:r>
      <w:r>
        <w:rPr>
          <w:rFonts w:eastAsia="Times New Roman"/>
          <w:b/>
          <w:i/>
        </w:rPr>
        <w:t xml:space="preserve">Regulation </w:t>
      </w:r>
      <w:r w:rsidRPr="00D65F91">
        <w:rPr>
          <w:rFonts w:cs="Arial"/>
          <w:b/>
          <w:i/>
        </w:rPr>
        <w:t>33(2</w:t>
      </w:r>
      <w:proofErr w:type="gramStart"/>
      <w:r w:rsidRPr="00D65F91">
        <w:rPr>
          <w:rFonts w:cs="Arial"/>
          <w:b/>
          <w:i/>
        </w:rPr>
        <w:t>)(</w:t>
      </w:r>
      <w:proofErr w:type="gramEnd"/>
      <w:r w:rsidRPr="00D65F91">
        <w:rPr>
          <w:rFonts w:cs="Arial"/>
          <w:b/>
          <w:i/>
        </w:rPr>
        <w:t>a) of the SFR</w:t>
      </w:r>
      <w:r w:rsidRPr="00D65F91">
        <w:rPr>
          <w:rFonts w:eastAsia="Times New Roman"/>
          <w:b/>
          <w:i/>
        </w:rPr>
        <w:t>.</w:t>
      </w:r>
    </w:p>
    <w:p w:rsidR="005F4344" w:rsidRDefault="005F4344" w:rsidP="005F4344">
      <w:pPr>
        <w:ind w:left="450" w:right="72"/>
        <w:jc w:val="both"/>
        <w:textAlignment w:val="baseline"/>
        <w:rPr>
          <w:rFonts w:eastAsia="Times New Roman"/>
          <w:b/>
        </w:rPr>
      </w:pPr>
    </w:p>
    <w:p w:rsidR="005F4344" w:rsidRPr="00D65F91" w:rsidRDefault="005F4344" w:rsidP="005F4344">
      <w:pPr>
        <w:pStyle w:val="ListParagraph"/>
        <w:numPr>
          <w:ilvl w:val="0"/>
          <w:numId w:val="17"/>
        </w:numPr>
        <w:adjustRightInd w:val="0"/>
        <w:snapToGrid w:val="0"/>
        <w:ind w:left="446" w:right="72"/>
        <w:contextualSpacing w:val="0"/>
        <w:jc w:val="both"/>
        <w:textAlignment w:val="baseline"/>
        <w:rPr>
          <w:rFonts w:cs="Arial"/>
          <w:b/>
          <w:i/>
        </w:rPr>
      </w:pPr>
      <w:r w:rsidRPr="00D65F91">
        <w:rPr>
          <w:rFonts w:cs="Arial"/>
          <w:b/>
        </w:rPr>
        <w:t>Regulation 40 of the SFR.</w:t>
      </w:r>
      <w:r>
        <w:rPr>
          <w:rFonts w:eastAsia="Times New Roman"/>
        </w:rPr>
        <w:t xml:space="preserve"> </w:t>
      </w:r>
      <w:r w:rsidRPr="00D65F91">
        <w:rPr>
          <w:rFonts w:cs="Arial"/>
        </w:rPr>
        <w:t xml:space="preserve">Regulation 40(1) of the SFR provides that a </w:t>
      </w:r>
      <w:r w:rsidRPr="001C588C">
        <w:rPr>
          <w:rFonts w:cs="Arial"/>
        </w:rPr>
        <w:t>CMSL holder</w:t>
      </w:r>
      <w:r w:rsidRPr="00D65F91">
        <w:rPr>
          <w:rFonts w:cs="Arial"/>
        </w:rPr>
        <w:t xml:space="preserve"> is required to furnish to each customer on a monthly basis a statement of account containing certain particulars prescribed under Regulation 40(2) of the SFR. In addition, Regulation 40(3) of the SFR provides that a </w:t>
      </w:r>
      <w:r w:rsidR="006676DE" w:rsidRPr="001C588C">
        <w:rPr>
          <w:rFonts w:cs="Arial"/>
        </w:rPr>
        <w:t>CMSL holder</w:t>
      </w:r>
      <w:r w:rsidRPr="00D65F91">
        <w:rPr>
          <w:rFonts w:cs="Arial"/>
        </w:rPr>
        <w:t xml:space="preserve"> is required to furnish to each customer, at the end of every quarter of a calendar year, a statement of account containing, where applicable, the assets, </w:t>
      </w:r>
      <w:r w:rsidRPr="00073136">
        <w:rPr>
          <w:rFonts w:cs="Arial"/>
        </w:rPr>
        <w:t>derivatives contracts of the customer</w:t>
      </w:r>
      <w:r>
        <w:rPr>
          <w:rFonts w:cs="Arial"/>
        </w:rPr>
        <w:t xml:space="preserve"> </w:t>
      </w:r>
      <w:r w:rsidRPr="00073136">
        <w:rPr>
          <w:rFonts w:cs="Arial"/>
        </w:rPr>
        <w:t>and spot foreign exchange contracts for the purposes of leveraged</w:t>
      </w:r>
      <w:r>
        <w:rPr>
          <w:rFonts w:cs="Arial"/>
        </w:rPr>
        <w:t xml:space="preserve"> </w:t>
      </w:r>
      <w:r w:rsidRPr="00073136">
        <w:rPr>
          <w:rFonts w:cs="Arial"/>
        </w:rPr>
        <w:t>foreign exchange trading of the customer that are outstanding and</w:t>
      </w:r>
      <w:r>
        <w:rPr>
          <w:rFonts w:cs="Arial"/>
        </w:rPr>
        <w:t xml:space="preserve"> </w:t>
      </w:r>
      <w:r w:rsidRPr="00073136">
        <w:rPr>
          <w:rFonts w:cs="Arial"/>
        </w:rPr>
        <w:t>have not been liquidated</w:t>
      </w:r>
      <w:r>
        <w:rPr>
          <w:rFonts w:cs="Arial"/>
        </w:rPr>
        <w:t xml:space="preserve"> </w:t>
      </w:r>
      <w:r w:rsidRPr="00D65F91">
        <w:rPr>
          <w:rFonts w:cs="Arial"/>
        </w:rPr>
        <w:t>and cash balances (if any) of the customer at the end of that quarter.</w:t>
      </w:r>
    </w:p>
    <w:p w:rsidR="005F4344" w:rsidRDefault="005F4344" w:rsidP="005F4344">
      <w:pPr>
        <w:pStyle w:val="ListParagraph"/>
        <w:adjustRightInd w:val="0"/>
        <w:snapToGrid w:val="0"/>
        <w:ind w:left="446" w:right="72"/>
        <w:contextualSpacing w:val="0"/>
        <w:jc w:val="both"/>
        <w:textAlignment w:val="baseline"/>
        <w:rPr>
          <w:rFonts w:eastAsia="Times New Roman"/>
          <w:b/>
          <w:i/>
        </w:rPr>
      </w:pPr>
    </w:p>
    <w:p w:rsidR="005F4344" w:rsidRPr="00D65F91" w:rsidRDefault="005F4344" w:rsidP="005F4344">
      <w:pPr>
        <w:pStyle w:val="ListParagraph"/>
        <w:adjustRightInd w:val="0"/>
        <w:snapToGrid w:val="0"/>
        <w:ind w:left="446" w:right="72"/>
        <w:contextualSpacing w:val="0"/>
        <w:jc w:val="both"/>
        <w:textAlignment w:val="baseline"/>
        <w:rPr>
          <w:rFonts w:eastAsia="Times New Roman"/>
          <w:b/>
          <w:i/>
        </w:rPr>
      </w:pPr>
      <w:r w:rsidRPr="00D65F91">
        <w:rPr>
          <w:rFonts w:eastAsia="Times New Roman"/>
          <w:b/>
          <w:i/>
        </w:rPr>
        <w:t>W</w:t>
      </w:r>
      <w:r w:rsidRPr="00D65F91">
        <w:rPr>
          <w:rFonts w:eastAsia="Times New Roman" w:cs="Arial"/>
          <w:b/>
          <w:i/>
        </w:rPr>
        <w:t xml:space="preserve">hen we deal with you as an accredited investor and provided we have made available to you (on a real-time basis) the prescribed particulars in the form of electronic records stored on an electronic facility and you have consented to those particulars being made available in this manner or you have requested in writing not to receive the statement of account, we </w:t>
      </w:r>
      <w:r w:rsidRPr="00D65F91">
        <w:rPr>
          <w:rFonts w:eastAsia="Times New Roman"/>
          <w:b/>
          <w:i/>
        </w:rPr>
        <w:t xml:space="preserve">are not under any statutory obligation to </w:t>
      </w:r>
      <w:r w:rsidRPr="00D65F91">
        <w:rPr>
          <w:rFonts w:eastAsia="Times New Roman" w:cs="Arial"/>
          <w:b/>
          <w:i/>
        </w:rPr>
        <w:t xml:space="preserve">furnish a monthly or quarterly statement of account to you. </w:t>
      </w:r>
      <w:r w:rsidRPr="00D65F91">
        <w:rPr>
          <w:rFonts w:eastAsia="Times New Roman"/>
          <w:b/>
          <w:i/>
        </w:rPr>
        <w:t xml:space="preserve">You are therefore not protected by the requirements of </w:t>
      </w:r>
      <w:r w:rsidRPr="00D65F91">
        <w:rPr>
          <w:rFonts w:eastAsia="Times New Roman" w:cs="Arial"/>
          <w:b/>
          <w:i/>
        </w:rPr>
        <w:t>Regulations 40</w:t>
      </w:r>
      <w:r w:rsidRPr="00D65F91">
        <w:rPr>
          <w:rFonts w:cs="Arial"/>
          <w:b/>
          <w:i/>
        </w:rPr>
        <w:t>(1) and (3) of the SFR</w:t>
      </w:r>
      <w:r w:rsidRPr="00D65F91">
        <w:rPr>
          <w:rFonts w:eastAsia="Times New Roman"/>
          <w:b/>
          <w:i/>
        </w:rPr>
        <w:t>.</w:t>
      </w:r>
    </w:p>
    <w:p w:rsidR="005F4344" w:rsidRDefault="005F4344" w:rsidP="005F4344">
      <w:pPr>
        <w:ind w:left="450" w:right="72"/>
        <w:jc w:val="both"/>
        <w:textAlignment w:val="baseline"/>
        <w:rPr>
          <w:rFonts w:eastAsia="Times New Roman"/>
          <w:b/>
        </w:rPr>
      </w:pPr>
    </w:p>
    <w:p w:rsidR="005F4344" w:rsidRPr="00C9789C" w:rsidRDefault="005F4344" w:rsidP="005F4344">
      <w:pPr>
        <w:numPr>
          <w:ilvl w:val="0"/>
          <w:numId w:val="17"/>
        </w:numPr>
        <w:ind w:left="426" w:right="72" w:hanging="426"/>
        <w:jc w:val="both"/>
        <w:textAlignment w:val="baseline"/>
        <w:rPr>
          <w:rFonts w:eastAsia="Times New Roman"/>
          <w:b/>
        </w:rPr>
      </w:pPr>
      <w:r w:rsidRPr="00A25B83">
        <w:rPr>
          <w:rFonts w:eastAsia="Times New Roman"/>
          <w:b/>
        </w:rPr>
        <w:t>Regulation 45 of the SFR.</w:t>
      </w:r>
      <w:r>
        <w:rPr>
          <w:rFonts w:eastAsia="Times New Roman"/>
        </w:rPr>
        <w:t xml:space="preserve"> </w:t>
      </w:r>
      <w:r w:rsidRPr="00A25B83">
        <w:rPr>
          <w:rFonts w:eastAsia="Times New Roman"/>
        </w:rPr>
        <w:t>Regulation 45 of the SFR</w:t>
      </w:r>
      <w:r w:rsidRPr="00C9789C">
        <w:rPr>
          <w:rFonts w:eastAsia="Times New Roman"/>
        </w:rPr>
        <w:t xml:space="preserve"> provides that borrowing and lending of specified products by a </w:t>
      </w:r>
      <w:r w:rsidRPr="001C588C">
        <w:rPr>
          <w:rFonts w:cs="Arial"/>
        </w:rPr>
        <w:t>CMSL holder</w:t>
      </w:r>
      <w:r w:rsidRPr="00B70CA1" w:rsidDel="00A119CC">
        <w:rPr>
          <w:rFonts w:eastAsia="Times New Roman"/>
        </w:rPr>
        <w:t xml:space="preserve"> </w:t>
      </w:r>
      <w:r w:rsidRPr="00B70CA1">
        <w:rPr>
          <w:rFonts w:eastAsia="Times New Roman"/>
        </w:rPr>
        <w:t>(</w:t>
      </w:r>
      <w:proofErr w:type="spellStart"/>
      <w:r w:rsidRPr="00B70CA1">
        <w:rPr>
          <w:rFonts w:eastAsia="Times New Roman"/>
        </w:rPr>
        <w:t>i</w:t>
      </w:r>
      <w:proofErr w:type="spellEnd"/>
      <w:r w:rsidRPr="00B70CA1">
        <w:rPr>
          <w:rFonts w:eastAsia="Times New Roman"/>
        </w:rPr>
        <w:t xml:space="preserve">) must be recorded </w:t>
      </w:r>
      <w:r w:rsidRPr="00B70CA1">
        <w:rPr>
          <w:rFonts w:cs="Arial"/>
          <w:bCs/>
        </w:rPr>
        <w:t xml:space="preserve">in a prior written agreement between the </w:t>
      </w:r>
      <w:r w:rsidRPr="001C588C">
        <w:rPr>
          <w:rFonts w:cs="Arial"/>
        </w:rPr>
        <w:t>CMSL holder</w:t>
      </w:r>
      <w:r w:rsidRPr="00B70CA1">
        <w:rPr>
          <w:rFonts w:cs="Arial"/>
        </w:rPr>
        <w:t xml:space="preserve"> </w:t>
      </w:r>
      <w:r w:rsidRPr="00B70CA1">
        <w:rPr>
          <w:rFonts w:cs="Arial"/>
          <w:bCs/>
        </w:rPr>
        <w:t xml:space="preserve">and the lender or borrower or their duly authorised agent where such agreement includes certain prescribed details; and (ii) must be collateralised. In particular, the </w:t>
      </w:r>
      <w:r w:rsidRPr="001C588C">
        <w:rPr>
          <w:rFonts w:cs="Arial"/>
        </w:rPr>
        <w:t>CMSL holder</w:t>
      </w:r>
      <w:r w:rsidRPr="00C9789C">
        <w:rPr>
          <w:rFonts w:cs="Arial"/>
          <w:bCs/>
        </w:rPr>
        <w:t xml:space="preserve"> is required to ensure that the collateral provided must, throughout the period that the </w:t>
      </w:r>
      <w:r w:rsidRPr="00360EE6">
        <w:rPr>
          <w:rFonts w:eastAsia="Times New Roman"/>
        </w:rPr>
        <w:t xml:space="preserve">specified products </w:t>
      </w:r>
      <w:r w:rsidRPr="00D13F09">
        <w:rPr>
          <w:rFonts w:cs="Arial"/>
          <w:bCs/>
        </w:rPr>
        <w:t xml:space="preserve">are borrowed or lent, have a value of not less than 100% of the market value of the </w:t>
      </w:r>
      <w:r w:rsidRPr="00C9789C">
        <w:rPr>
          <w:rFonts w:eastAsia="Times New Roman"/>
        </w:rPr>
        <w:t xml:space="preserve">specified products </w:t>
      </w:r>
      <w:r w:rsidRPr="00C9789C">
        <w:rPr>
          <w:rFonts w:cs="Arial"/>
          <w:bCs/>
        </w:rPr>
        <w:t>borrowed or lent. Regulation 45 of the SFR further sets out the acceptable forms of collateral for these purposes.</w:t>
      </w:r>
    </w:p>
    <w:p w:rsidR="005F4344" w:rsidRPr="009D2DBA" w:rsidRDefault="005F4344" w:rsidP="005F4344">
      <w:pPr>
        <w:ind w:left="426" w:right="72"/>
        <w:jc w:val="both"/>
        <w:textAlignment w:val="baseline"/>
        <w:rPr>
          <w:rFonts w:eastAsia="Times New Roman"/>
          <w:b/>
        </w:rPr>
      </w:pPr>
    </w:p>
    <w:p w:rsidR="005F4344" w:rsidRPr="00D65F91" w:rsidRDefault="005F4344" w:rsidP="005F4344">
      <w:pPr>
        <w:ind w:left="426" w:right="72"/>
        <w:jc w:val="both"/>
        <w:textAlignment w:val="baseline"/>
        <w:rPr>
          <w:rFonts w:eastAsia="Times New Roman"/>
          <w:b/>
          <w:i/>
        </w:rPr>
      </w:pPr>
      <w:r w:rsidRPr="00D65F91">
        <w:rPr>
          <w:rFonts w:eastAsia="Times New Roman"/>
          <w:b/>
          <w:i/>
        </w:rPr>
        <w:t xml:space="preserve">When we deal with you as an accredited investor, we are not under any statutory obligation to provide collateral to you under </w:t>
      </w:r>
      <w:r>
        <w:rPr>
          <w:rFonts w:eastAsia="Times New Roman"/>
          <w:b/>
          <w:i/>
        </w:rPr>
        <w:t>R</w:t>
      </w:r>
      <w:r w:rsidRPr="00D65F91">
        <w:rPr>
          <w:rFonts w:eastAsia="Times New Roman"/>
          <w:b/>
          <w:i/>
        </w:rPr>
        <w:t xml:space="preserve">egulation 45 of the SFR when we borrow specified products from you. </w:t>
      </w:r>
      <w:r>
        <w:rPr>
          <w:rFonts w:eastAsia="Times New Roman"/>
          <w:b/>
          <w:i/>
        </w:rPr>
        <w:t xml:space="preserve">Where we provide assets to you as collateral for the borrowing, the agreement shall specify whether the specified products borrowed and the assets provided comprising specified products (if any) are marked to market and if so, the procedures for calculating the margin. However (unlike for retail investors), the agreement does not have to include the requirement to mark-to-market on every business day the specified products that are borrowed nor the minimum collateral comprising specified </w:t>
      </w:r>
      <w:proofErr w:type="gramStart"/>
      <w:r>
        <w:rPr>
          <w:rFonts w:eastAsia="Times New Roman"/>
          <w:b/>
          <w:i/>
        </w:rPr>
        <w:t>products</w:t>
      </w:r>
      <w:r w:rsidR="004924A3">
        <w:rPr>
          <w:rFonts w:eastAsia="Times New Roman"/>
          <w:b/>
          <w:i/>
        </w:rPr>
        <w:t xml:space="preserve"> </w:t>
      </w:r>
      <w:r w:rsidR="007D1C45" w:rsidRPr="007D1C45">
        <w:rPr>
          <w:rFonts w:eastAsia="Times New Roman"/>
          <w:b/>
          <w:i/>
        </w:rPr>
        <w:t>nor</w:t>
      </w:r>
      <w:proofErr w:type="gramEnd"/>
      <w:r w:rsidR="007D1C45" w:rsidRPr="007D1C45">
        <w:rPr>
          <w:rFonts w:eastAsia="Times New Roman"/>
          <w:b/>
          <w:i/>
        </w:rPr>
        <w:t xml:space="preserve"> procedures for calculating the margins</w:t>
      </w:r>
      <w:r>
        <w:rPr>
          <w:rFonts w:eastAsia="Times New Roman"/>
          <w:b/>
          <w:i/>
        </w:rPr>
        <w:t>.</w:t>
      </w:r>
    </w:p>
    <w:p w:rsidR="005F4344" w:rsidRPr="00C467BC" w:rsidRDefault="005F4344" w:rsidP="005F4344">
      <w:pPr>
        <w:pStyle w:val="ListParagraph"/>
        <w:rPr>
          <w:rFonts w:eastAsia="Times New Roman"/>
          <w:b/>
        </w:rPr>
      </w:pPr>
    </w:p>
    <w:p w:rsidR="005F4344" w:rsidRPr="00D65F91" w:rsidRDefault="005F4344" w:rsidP="005F4344">
      <w:pPr>
        <w:numPr>
          <w:ilvl w:val="0"/>
          <w:numId w:val="17"/>
        </w:numPr>
        <w:ind w:right="72"/>
        <w:jc w:val="both"/>
        <w:textAlignment w:val="baseline"/>
        <w:rPr>
          <w:rFonts w:eastAsia="Times New Roman"/>
        </w:rPr>
      </w:pPr>
      <w:r w:rsidRPr="00D65F91">
        <w:rPr>
          <w:rFonts w:eastAsia="Times New Roman"/>
          <w:b/>
        </w:rPr>
        <w:t xml:space="preserve">Regulation </w:t>
      </w:r>
      <w:proofErr w:type="gramStart"/>
      <w:r w:rsidRPr="00D65F91">
        <w:rPr>
          <w:rFonts w:eastAsia="Times New Roman"/>
          <w:b/>
        </w:rPr>
        <w:t>47A(</w:t>
      </w:r>
      <w:proofErr w:type="gramEnd"/>
      <w:r w:rsidRPr="00D65F91">
        <w:rPr>
          <w:rFonts w:eastAsia="Times New Roman"/>
          <w:b/>
        </w:rPr>
        <w:t xml:space="preserve">1) of the SFR. </w:t>
      </w:r>
      <w:r w:rsidRPr="00D65F91">
        <w:rPr>
          <w:rFonts w:eastAsia="Times New Roman"/>
        </w:rPr>
        <w:t xml:space="preserve">Regulation </w:t>
      </w:r>
      <w:proofErr w:type="gramStart"/>
      <w:r w:rsidRPr="00D65F91">
        <w:rPr>
          <w:rFonts w:eastAsia="Times New Roman"/>
        </w:rPr>
        <w:t>47A(</w:t>
      </w:r>
      <w:proofErr w:type="gramEnd"/>
      <w:r w:rsidRPr="00D65F91">
        <w:rPr>
          <w:rFonts w:eastAsia="Times New Roman"/>
        </w:rPr>
        <w:t xml:space="preserve">1) of the SFR provides that disclosures of certain interests in respect of underwriting agreements have to be made. In particular, a </w:t>
      </w:r>
      <w:r>
        <w:rPr>
          <w:rFonts w:eastAsia="Times New Roman"/>
        </w:rPr>
        <w:t>CMSL</w:t>
      </w:r>
      <w:r w:rsidRPr="00D65F91">
        <w:rPr>
          <w:rFonts w:eastAsia="Times New Roman"/>
        </w:rPr>
        <w:t xml:space="preserve"> holder </w:t>
      </w:r>
      <w:r w:rsidRPr="00D65F91">
        <w:t xml:space="preserve">must, in certain circumstances, disclose its interests in </w:t>
      </w:r>
      <w:r w:rsidRPr="00D65F91">
        <w:rPr>
          <w:rFonts w:eastAsia="Times New Roman"/>
        </w:rPr>
        <w:t>specified products</w:t>
      </w:r>
      <w:r w:rsidRPr="009C0179">
        <w:rPr>
          <w:rFonts w:eastAsia="Times New Roman"/>
        </w:rPr>
        <w:t xml:space="preserve"> </w:t>
      </w:r>
      <w:r w:rsidRPr="00D65F91">
        <w:t xml:space="preserve">when offering to sell </w:t>
      </w:r>
      <w:r w:rsidRPr="00D65F91">
        <w:rPr>
          <w:rFonts w:eastAsia="Times New Roman"/>
        </w:rPr>
        <w:t>specified products</w:t>
      </w:r>
      <w:r w:rsidRPr="009C0179">
        <w:rPr>
          <w:rFonts w:eastAsia="Times New Roman"/>
        </w:rPr>
        <w:t xml:space="preserve"> </w:t>
      </w:r>
      <w:r w:rsidRPr="00D65F91">
        <w:t>otherwise than in the ordinary course of trading on a</w:t>
      </w:r>
      <w:r w:rsidRPr="008F2360">
        <w:t xml:space="preserve">n approved </w:t>
      </w:r>
      <w:r w:rsidRPr="008F2360">
        <w:lastRenderedPageBreak/>
        <w:t>exchange</w:t>
      </w:r>
      <w:r w:rsidRPr="00D65F91">
        <w:t xml:space="preserve"> or recognised market operator or recommending </w:t>
      </w:r>
      <w:r w:rsidRPr="00D65F91">
        <w:rPr>
          <w:rFonts w:eastAsia="Times New Roman"/>
        </w:rPr>
        <w:t>specified products</w:t>
      </w:r>
      <w:r w:rsidR="00BB68EF">
        <w:rPr>
          <w:rFonts w:eastAsia="Times New Roman"/>
        </w:rPr>
        <w:t>,</w:t>
      </w:r>
      <w:r w:rsidRPr="009C0179">
        <w:rPr>
          <w:rFonts w:eastAsia="Times New Roman"/>
        </w:rPr>
        <w:t xml:space="preserve"> </w:t>
      </w:r>
      <w:r w:rsidRPr="00D65F91">
        <w:t xml:space="preserve">where the </w:t>
      </w:r>
      <w:r w:rsidR="00AB57BB">
        <w:t>CMSL</w:t>
      </w:r>
      <w:r w:rsidRPr="00D65F91">
        <w:t xml:space="preserve"> holder has entered into an underwriting agreement in respect of such </w:t>
      </w:r>
      <w:r w:rsidRPr="00D65F91">
        <w:rPr>
          <w:rFonts w:eastAsia="Times New Roman"/>
        </w:rPr>
        <w:t>specified products</w:t>
      </w:r>
      <w:r w:rsidRPr="00D65F91">
        <w:t xml:space="preserve">. Copies of any written offer, written recommendation or written statement sent by the </w:t>
      </w:r>
      <w:r>
        <w:t>CMSL</w:t>
      </w:r>
      <w:r w:rsidRPr="00D65F91">
        <w:t xml:space="preserve"> holder must be kept for a period of 5 years after the day of the written offer, recommendation or statement is made.</w:t>
      </w:r>
    </w:p>
    <w:p w:rsidR="005F4344" w:rsidRPr="00D65F91" w:rsidRDefault="005F4344" w:rsidP="005F4344">
      <w:pPr>
        <w:pStyle w:val="ListParagraph"/>
        <w:ind w:left="450" w:right="72"/>
        <w:jc w:val="both"/>
        <w:textAlignment w:val="baseline"/>
        <w:rPr>
          <w:rFonts w:eastAsia="Times New Roman"/>
          <w:b/>
          <w:i/>
        </w:rPr>
      </w:pPr>
    </w:p>
    <w:p w:rsidR="005F4344" w:rsidRPr="00B720C1" w:rsidRDefault="005F4344" w:rsidP="005F4344">
      <w:pPr>
        <w:pStyle w:val="ListParagraph"/>
        <w:ind w:left="450" w:right="72"/>
        <w:jc w:val="both"/>
        <w:textAlignment w:val="baseline"/>
      </w:pPr>
      <w:r w:rsidRPr="00D65F91">
        <w:rPr>
          <w:rFonts w:eastAsia="Times New Roman"/>
          <w:b/>
          <w:i/>
        </w:rPr>
        <w:t xml:space="preserve">When we deal with you as an accredited investor, we are not under any statutory obligation to provide you with disclosures of our interest in </w:t>
      </w:r>
      <w:r>
        <w:rPr>
          <w:rFonts w:eastAsia="Times New Roman"/>
          <w:b/>
          <w:i/>
        </w:rPr>
        <w:t>specified products</w:t>
      </w:r>
      <w:r w:rsidRPr="00D65F91">
        <w:rPr>
          <w:rFonts w:eastAsia="Times New Roman"/>
          <w:b/>
          <w:i/>
        </w:rPr>
        <w:t xml:space="preserve"> in the manner contemplated under Regulation 47A of the SFR. You are therefore not protected by the requirements under Regulation 47A of the SFR.</w:t>
      </w:r>
    </w:p>
    <w:p w:rsidR="005F4344" w:rsidRDefault="005F4344" w:rsidP="005F4344">
      <w:pPr>
        <w:ind w:left="450" w:right="72"/>
        <w:jc w:val="both"/>
        <w:textAlignment w:val="baseline"/>
        <w:rPr>
          <w:rFonts w:eastAsia="Times New Roman"/>
          <w:b/>
        </w:rPr>
      </w:pPr>
    </w:p>
    <w:p w:rsidR="005F4344" w:rsidRPr="00D65F91" w:rsidRDefault="005F4344" w:rsidP="005F4344">
      <w:pPr>
        <w:numPr>
          <w:ilvl w:val="0"/>
          <w:numId w:val="17"/>
        </w:numPr>
        <w:ind w:left="426" w:right="72" w:hanging="426"/>
        <w:jc w:val="both"/>
        <w:textAlignment w:val="baseline"/>
        <w:rPr>
          <w:rFonts w:eastAsia="Times New Roman"/>
          <w:b/>
        </w:rPr>
      </w:pPr>
      <w:r>
        <w:rPr>
          <w:rFonts w:eastAsia="Times New Roman"/>
          <w:b/>
        </w:rPr>
        <w:t>Regulation 47DA of the SFR.</w:t>
      </w:r>
      <w:r>
        <w:rPr>
          <w:rFonts w:eastAsia="Times New Roman"/>
        </w:rPr>
        <w:t xml:space="preserve"> Regulation 47DA(1) and (2) of the SFR provide for certain general risk disclosure requirements that a </w:t>
      </w:r>
      <w:r w:rsidRPr="001C588C">
        <w:rPr>
          <w:rFonts w:cs="Arial"/>
        </w:rPr>
        <w:t>CMSL holder</w:t>
      </w:r>
      <w:r w:rsidRPr="00B70CA1">
        <w:rPr>
          <w:rFonts w:eastAsia="Times New Roman"/>
        </w:rPr>
        <w:t xml:space="preserve"> dealing in specified capital markets products must comply with. For this purpose, “specified capital markets products” means capital markets products other than futures contracts, spot foreign exchange contracts for the purposes of leveraged foreign exchange trading and foreign exchange over-the-counter derivatives contracts. In particular, the </w:t>
      </w:r>
      <w:r w:rsidRPr="001C588C">
        <w:rPr>
          <w:rFonts w:cs="Arial"/>
        </w:rPr>
        <w:t>CMSL holder</w:t>
      </w:r>
      <w:r w:rsidRPr="00B70CA1">
        <w:rPr>
          <w:rFonts w:eastAsia="Times New Roman"/>
        </w:rPr>
        <w:t xml:space="preserve"> must not open a trading account for a customer for the purpose of entering into transactions of sale and purchase of any specified capital markets products unless it has furnished the customer with a written risk disclosure document disclosing the material risks of the specified capital markets products, and receives an acknowledgement signed and dated by the customer that he has received and understood the nature and contents of the risk disclosure document. Further, the </w:t>
      </w:r>
      <w:r w:rsidRPr="001C588C">
        <w:rPr>
          <w:rFonts w:cs="Arial"/>
        </w:rPr>
        <w:t>CMSL holder</w:t>
      </w:r>
      <w:r>
        <w:rPr>
          <w:rFonts w:eastAsia="Times New Roman"/>
        </w:rPr>
        <w:t xml:space="preserve"> must not enter any transaction of sale or purchase of any specified capital markets products unless it has informed the customer whether it is acting in that transaction as a principal or agent and/or its intention to do so.</w:t>
      </w:r>
    </w:p>
    <w:p w:rsidR="005F4344" w:rsidRDefault="005F4344" w:rsidP="005F4344">
      <w:pPr>
        <w:ind w:left="426" w:right="72"/>
        <w:jc w:val="both"/>
        <w:textAlignment w:val="baseline"/>
        <w:rPr>
          <w:rFonts w:eastAsia="Times New Roman"/>
          <w:b/>
        </w:rPr>
      </w:pPr>
    </w:p>
    <w:p w:rsidR="005F4344" w:rsidRDefault="005F4344" w:rsidP="005F4344">
      <w:pPr>
        <w:pStyle w:val="ListParagraph"/>
        <w:ind w:left="450" w:right="72"/>
        <w:jc w:val="both"/>
        <w:textAlignment w:val="baseline"/>
        <w:rPr>
          <w:rFonts w:eastAsia="Times New Roman"/>
          <w:b/>
          <w:i/>
        </w:rPr>
      </w:pPr>
      <w:r w:rsidRPr="00235582">
        <w:rPr>
          <w:rFonts w:eastAsia="Times New Roman"/>
          <w:b/>
          <w:i/>
        </w:rPr>
        <w:t xml:space="preserve">When we deal with you as an accredited investor, we are not under any statutory obligation to provide you with </w:t>
      </w:r>
      <w:r>
        <w:rPr>
          <w:rFonts w:eastAsia="Times New Roman"/>
          <w:b/>
          <w:i/>
        </w:rPr>
        <w:t xml:space="preserve">the risk </w:t>
      </w:r>
      <w:r w:rsidRPr="00235582">
        <w:rPr>
          <w:rFonts w:eastAsia="Times New Roman"/>
          <w:b/>
          <w:i/>
        </w:rPr>
        <w:t>disclosures</w:t>
      </w:r>
      <w:r>
        <w:rPr>
          <w:rFonts w:eastAsia="Times New Roman"/>
          <w:b/>
          <w:i/>
        </w:rPr>
        <w:t xml:space="preserve">, and the capacity in which we act, </w:t>
      </w:r>
      <w:r w:rsidRPr="00235582">
        <w:rPr>
          <w:rFonts w:eastAsia="Times New Roman"/>
          <w:b/>
          <w:i/>
        </w:rPr>
        <w:t>in the manner contemplated under Regulation 47</w:t>
      </w:r>
      <w:r>
        <w:rPr>
          <w:rFonts w:eastAsia="Times New Roman"/>
          <w:b/>
          <w:i/>
        </w:rPr>
        <w:t>D</w:t>
      </w:r>
      <w:r w:rsidRPr="00235582">
        <w:rPr>
          <w:rFonts w:eastAsia="Times New Roman"/>
          <w:b/>
          <w:i/>
        </w:rPr>
        <w:t>A of the SFR. You are therefore not protected by the requirements under Regulation 47</w:t>
      </w:r>
      <w:r>
        <w:rPr>
          <w:rFonts w:eastAsia="Times New Roman"/>
          <w:b/>
          <w:i/>
        </w:rPr>
        <w:t>D</w:t>
      </w:r>
      <w:r w:rsidRPr="00235582">
        <w:rPr>
          <w:rFonts w:eastAsia="Times New Roman"/>
          <w:b/>
          <w:i/>
        </w:rPr>
        <w:t>A of the SFR.</w:t>
      </w:r>
    </w:p>
    <w:p w:rsidR="005F4344" w:rsidRPr="00D13F09" w:rsidRDefault="005F4344" w:rsidP="005F4344">
      <w:pPr>
        <w:ind w:right="72"/>
        <w:jc w:val="both"/>
        <w:textAlignment w:val="baseline"/>
        <w:rPr>
          <w:rFonts w:eastAsia="Times New Roman"/>
        </w:rPr>
      </w:pPr>
    </w:p>
    <w:p w:rsidR="005F4344" w:rsidRPr="00747265" w:rsidRDefault="005F4344" w:rsidP="005F4344">
      <w:pPr>
        <w:jc w:val="both"/>
        <w:rPr>
          <w:rFonts w:cs="Arial"/>
          <w:b/>
          <w:i/>
        </w:rPr>
      </w:pPr>
      <w:r w:rsidRPr="00747265">
        <w:rPr>
          <w:rFonts w:cs="Arial"/>
          <w:b/>
          <w:i/>
        </w:rPr>
        <w:t xml:space="preserve">Under the </w:t>
      </w:r>
      <w:r w:rsidRPr="00747265">
        <w:rPr>
          <w:rFonts w:eastAsia="Times New Roman"/>
          <w:b/>
          <w:i/>
        </w:rPr>
        <w:t>FAA and the regulations, notices and guidelines issued thereunder:</w:t>
      </w:r>
    </w:p>
    <w:p w:rsidR="005F4344" w:rsidRPr="00747265" w:rsidRDefault="005F4344" w:rsidP="005F4344">
      <w:pPr>
        <w:jc w:val="both"/>
        <w:rPr>
          <w:rFonts w:cs="Arial"/>
          <w:b/>
          <w:i/>
        </w:rPr>
      </w:pPr>
    </w:p>
    <w:p w:rsidR="005F4344" w:rsidRPr="00235582" w:rsidRDefault="005F4344" w:rsidP="005F4344">
      <w:pPr>
        <w:numPr>
          <w:ilvl w:val="0"/>
          <w:numId w:val="17"/>
        </w:numPr>
        <w:ind w:right="72" w:hanging="450"/>
        <w:jc w:val="both"/>
        <w:textAlignment w:val="baseline"/>
        <w:rPr>
          <w:rFonts w:eastAsia="Times New Roman" w:cs="Arial"/>
          <w:b/>
        </w:rPr>
      </w:pPr>
      <w:r w:rsidRPr="00235582">
        <w:rPr>
          <w:rFonts w:eastAsia="Times New Roman"/>
          <w:b/>
        </w:rPr>
        <w:t xml:space="preserve">Section </w:t>
      </w:r>
      <w:proofErr w:type="gramStart"/>
      <w:r w:rsidRPr="00235582">
        <w:rPr>
          <w:rFonts w:eastAsia="Times New Roman"/>
          <w:b/>
        </w:rPr>
        <w:t>23F(</w:t>
      </w:r>
      <w:proofErr w:type="gramEnd"/>
      <w:r w:rsidRPr="00235582">
        <w:rPr>
          <w:rFonts w:eastAsia="Times New Roman"/>
          <w:b/>
        </w:rPr>
        <w:t>1)(c) of the FAA read with Regulations 4A(4)(c), (d)</w:t>
      </w:r>
      <w:r w:rsidR="00E84603">
        <w:rPr>
          <w:rFonts w:eastAsia="Times New Roman"/>
          <w:b/>
        </w:rPr>
        <w:t>,</w:t>
      </w:r>
      <w:r w:rsidRPr="00235582">
        <w:rPr>
          <w:rFonts w:eastAsia="Times New Roman"/>
          <w:b/>
        </w:rPr>
        <w:t xml:space="preserve"> (e)</w:t>
      </w:r>
      <w:r w:rsidR="00E84603">
        <w:rPr>
          <w:rFonts w:eastAsia="Times New Roman"/>
          <w:b/>
        </w:rPr>
        <w:t xml:space="preserve"> and (6)</w:t>
      </w:r>
      <w:r w:rsidRPr="00235582">
        <w:rPr>
          <w:rFonts w:eastAsia="Times New Roman"/>
          <w:b/>
        </w:rPr>
        <w:t xml:space="preserve"> of the </w:t>
      </w:r>
      <w:r>
        <w:rPr>
          <w:rFonts w:eastAsia="Times New Roman"/>
          <w:b/>
        </w:rPr>
        <w:t>Financial Advisers Regulations (“FAR”)</w:t>
      </w:r>
      <w:r w:rsidRPr="00235582">
        <w:rPr>
          <w:rFonts w:eastAsia="Times New Roman"/>
          <w:b/>
        </w:rPr>
        <w:t>.</w:t>
      </w:r>
      <w:r>
        <w:rPr>
          <w:rFonts w:eastAsia="Times New Roman"/>
        </w:rPr>
        <w:t xml:space="preserve"> </w:t>
      </w:r>
      <w:r w:rsidRPr="00235582">
        <w:rPr>
          <w:rFonts w:eastAsia="Times New Roman"/>
        </w:rPr>
        <w:t>Section 23F(1)(c) of the FAA read with</w:t>
      </w:r>
      <w:r w:rsidRPr="00235582">
        <w:rPr>
          <w:rFonts w:eastAsia="Times New Roman"/>
          <w:b/>
        </w:rPr>
        <w:t xml:space="preserve"> </w:t>
      </w:r>
      <w:r w:rsidRPr="00235582">
        <w:rPr>
          <w:rFonts w:eastAsia="Times New Roman"/>
        </w:rPr>
        <w:t>Regulation 4A(4)(c), (d) and (e) of the FAR provides that where a principal wishes to appoint an individual as a provisional representative in respect of any financial advisory service, a principal is required to lodge with the MAS an undertaking to ensure that (</w:t>
      </w:r>
      <w:proofErr w:type="spellStart"/>
      <w:r w:rsidRPr="00235582">
        <w:rPr>
          <w:rFonts w:eastAsia="Times New Roman"/>
        </w:rPr>
        <w:t>i</w:t>
      </w:r>
      <w:proofErr w:type="spellEnd"/>
      <w:r w:rsidRPr="00235582">
        <w:rPr>
          <w:rFonts w:eastAsia="Times New Roman"/>
        </w:rPr>
        <w:t xml:space="preserve">) the provisional representative is accompanied at all times by an authorised person when meeting any client or member of the public in the course of providing any financial advisory service, (ii) the provisional representative sends concurrently to an authorised person all electronic mail that he sends to any client or member of the public in the course of providing any financial advisory service and (iii) the provisional representative </w:t>
      </w:r>
      <w:r w:rsidRPr="00235582">
        <w:rPr>
          <w:color w:val="000000"/>
          <w:lang w:val="en"/>
        </w:rPr>
        <w:t xml:space="preserve">does not communicate by telephone with any client or member of the public when providing any financial advisory service, other than by telephone conference in the presence of an </w:t>
      </w:r>
      <w:proofErr w:type="spellStart"/>
      <w:r w:rsidRPr="00235582">
        <w:rPr>
          <w:color w:val="000000"/>
          <w:lang w:val="en"/>
        </w:rPr>
        <w:t>authorised</w:t>
      </w:r>
      <w:proofErr w:type="spellEnd"/>
      <w:r w:rsidRPr="00235582">
        <w:rPr>
          <w:color w:val="000000"/>
          <w:lang w:val="en"/>
        </w:rPr>
        <w:t xml:space="preserve"> person</w:t>
      </w:r>
      <w:r w:rsidRPr="00235582">
        <w:rPr>
          <w:rFonts w:eastAsia="Times New Roman"/>
        </w:rPr>
        <w:t xml:space="preserve">. An “authorised person” for these purposes refers to an appointed representative or a director of the principal, an officer of the </w:t>
      </w:r>
      <w:r w:rsidRPr="00235582">
        <w:rPr>
          <w:rFonts w:eastAsia="Times New Roman"/>
        </w:rPr>
        <w:lastRenderedPageBreak/>
        <w:t>principal whose primary function is to ensure that the provision of financial advisory service in question complies with the applicable laws and requirements of the MAS or an officer of the principal appointed to supervise the representative in providing the financial advisory service.</w:t>
      </w:r>
    </w:p>
    <w:p w:rsidR="005F4344" w:rsidRPr="00235582" w:rsidRDefault="005F4344" w:rsidP="005F4344">
      <w:pPr>
        <w:ind w:left="426" w:right="72"/>
        <w:jc w:val="both"/>
        <w:textAlignment w:val="baseline"/>
        <w:rPr>
          <w:rFonts w:eastAsia="Times New Roman" w:cs="Arial"/>
          <w:b/>
        </w:rPr>
      </w:pPr>
    </w:p>
    <w:p w:rsidR="005F4344" w:rsidRPr="00235582" w:rsidRDefault="005F4344" w:rsidP="005F4344">
      <w:pPr>
        <w:ind w:left="426" w:right="72"/>
        <w:jc w:val="both"/>
        <w:textAlignment w:val="baseline"/>
        <w:rPr>
          <w:rFonts w:eastAsia="Times New Roman"/>
          <w:b/>
          <w:i/>
        </w:rPr>
      </w:pPr>
      <w:r w:rsidRPr="00235582">
        <w:rPr>
          <w:rFonts w:eastAsia="Times New Roman"/>
          <w:b/>
          <w:i/>
        </w:rPr>
        <w:t>W</w:t>
      </w:r>
      <w:r w:rsidRPr="00235582">
        <w:rPr>
          <w:rFonts w:eastAsia="Times New Roman" w:cs="Arial"/>
          <w:b/>
          <w:i/>
        </w:rPr>
        <w:t xml:space="preserve">hen we deal with you as an “accredited investor”, we are not under any statutory obligation to </w:t>
      </w:r>
      <w:r w:rsidRPr="00235582">
        <w:rPr>
          <w:rFonts w:eastAsia="Times New Roman"/>
          <w:b/>
          <w:i/>
        </w:rPr>
        <w:t xml:space="preserve">restrict the interactions with clients or members of public that may be undertaken by our provisional representatives in the course of providing any financial advisory service in the manner set out in Regulations 4A(4)(c), (d) and (e) of the FAR. You are therefore not protected by the requirements of Section </w:t>
      </w:r>
      <w:proofErr w:type="gramStart"/>
      <w:r w:rsidRPr="00235582">
        <w:rPr>
          <w:rFonts w:eastAsia="Times New Roman"/>
          <w:b/>
          <w:i/>
        </w:rPr>
        <w:t>23F(</w:t>
      </w:r>
      <w:proofErr w:type="gramEnd"/>
      <w:r w:rsidRPr="00235582">
        <w:rPr>
          <w:rFonts w:eastAsia="Times New Roman"/>
          <w:b/>
          <w:i/>
        </w:rPr>
        <w:t>1)(c) of the FAA read with</w:t>
      </w:r>
      <w:r w:rsidRPr="00235582">
        <w:rPr>
          <w:rFonts w:eastAsia="Times New Roman"/>
          <w:b/>
        </w:rPr>
        <w:t xml:space="preserve"> </w:t>
      </w:r>
      <w:r w:rsidRPr="00235582">
        <w:rPr>
          <w:rFonts w:eastAsia="Times New Roman"/>
          <w:b/>
          <w:i/>
        </w:rPr>
        <w:t>Regulations 4A(4)(c), (d) and (e) of the FAR.</w:t>
      </w:r>
    </w:p>
    <w:p w:rsidR="005F4344" w:rsidRDefault="005F4344" w:rsidP="005F4344">
      <w:pPr>
        <w:pStyle w:val="ListParagraph"/>
        <w:tabs>
          <w:tab w:val="left" w:pos="720"/>
        </w:tabs>
        <w:ind w:left="450" w:right="72"/>
        <w:jc w:val="both"/>
        <w:textAlignment w:val="baseline"/>
        <w:rPr>
          <w:rFonts w:eastAsia="Times New Roman"/>
          <w:b/>
        </w:rPr>
      </w:pPr>
    </w:p>
    <w:p w:rsidR="005F4344" w:rsidRPr="00D65F91" w:rsidRDefault="005F4344" w:rsidP="005F4344">
      <w:pPr>
        <w:pStyle w:val="ListParagraph"/>
        <w:numPr>
          <w:ilvl w:val="0"/>
          <w:numId w:val="17"/>
        </w:numPr>
        <w:tabs>
          <w:tab w:val="left" w:pos="720"/>
        </w:tabs>
        <w:ind w:right="72"/>
        <w:jc w:val="both"/>
        <w:textAlignment w:val="baseline"/>
        <w:rPr>
          <w:rFonts w:eastAsia="Times New Roman"/>
          <w:b/>
        </w:rPr>
      </w:pPr>
      <w:r>
        <w:rPr>
          <w:rFonts w:eastAsia="Times New Roman"/>
          <w:b/>
        </w:rPr>
        <w:t xml:space="preserve">Regulation 28 of the FAR. </w:t>
      </w:r>
      <w:r>
        <w:rPr>
          <w:rFonts w:eastAsia="Times New Roman"/>
        </w:rPr>
        <w:t>Regulation 28 of the FAR provides an exemption to a corporation, not being a licensed financial adviser or an exempt financial adviser, which carries on the business of advising others either directly or through publications or writings or by issuing or promulgating research analyses or research reports, concerning bonds to an expert investor or an accredited investor, from having to hold a financial adviser’s licence in respect of the above-stated activity.</w:t>
      </w:r>
    </w:p>
    <w:p w:rsidR="005F4344" w:rsidRDefault="005F4344" w:rsidP="005F4344">
      <w:pPr>
        <w:tabs>
          <w:tab w:val="left" w:pos="720"/>
        </w:tabs>
        <w:ind w:right="72"/>
        <w:jc w:val="both"/>
        <w:textAlignment w:val="baseline"/>
        <w:rPr>
          <w:rFonts w:eastAsia="Times New Roman"/>
          <w:b/>
        </w:rPr>
      </w:pPr>
    </w:p>
    <w:p w:rsidR="005F4344" w:rsidRDefault="005F4344" w:rsidP="005F4344">
      <w:pPr>
        <w:tabs>
          <w:tab w:val="left" w:pos="720"/>
        </w:tabs>
        <w:ind w:left="450" w:right="72"/>
        <w:jc w:val="both"/>
        <w:textAlignment w:val="baseline"/>
        <w:rPr>
          <w:rFonts w:eastAsia="Times New Roman"/>
        </w:rPr>
      </w:pPr>
      <w:r>
        <w:rPr>
          <w:rFonts w:eastAsia="Times New Roman"/>
        </w:rPr>
        <w:t>Regulation 28 also exempts certain exempt financial adviser</w:t>
      </w:r>
      <w:r w:rsidR="004951A2">
        <w:rPr>
          <w:rFonts w:eastAsia="Times New Roman"/>
        </w:rPr>
        <w:t>s</w:t>
      </w:r>
      <w:r>
        <w:rPr>
          <w:rFonts w:eastAsia="Times New Roman"/>
        </w:rPr>
        <w:t xml:space="preserve"> from having to comply with </w:t>
      </w:r>
      <w:r w:rsidRPr="00866424">
        <w:rPr>
          <w:rFonts w:eastAsia="Times New Roman"/>
        </w:rPr>
        <w:t xml:space="preserve">requirements </w:t>
      </w:r>
      <w:r>
        <w:rPr>
          <w:rFonts w:eastAsia="Times New Roman"/>
        </w:rPr>
        <w:t xml:space="preserve">set out </w:t>
      </w:r>
      <w:r w:rsidRPr="00866424">
        <w:rPr>
          <w:rFonts w:eastAsia="Times New Roman"/>
        </w:rPr>
        <w:t>in sections 26 to 29 and 36 of the FAA</w:t>
      </w:r>
      <w:r>
        <w:rPr>
          <w:rFonts w:eastAsia="Times New Roman"/>
        </w:rPr>
        <w:t xml:space="preserve">. Briefly, these requirements are as follows. Section 26 </w:t>
      </w:r>
      <w:r w:rsidRPr="00747265">
        <w:rPr>
          <w:rFonts w:eastAsia="Times New Roman"/>
        </w:rPr>
        <w:t xml:space="preserve">of the FAA </w:t>
      </w:r>
      <w:r>
        <w:rPr>
          <w:rFonts w:eastAsia="Times New Roman"/>
        </w:rPr>
        <w:t xml:space="preserve">imposes an obligation on a financial adviser not to make any false or misleading statement or to employ any device, scheme or artifice to defraud. </w:t>
      </w:r>
      <w:r w:rsidRPr="00747265">
        <w:rPr>
          <w:rFonts w:eastAsia="Times New Roman"/>
        </w:rPr>
        <w:t>Section 27 of the FAA requires a financial adviser to have a reasonable basis for any recommendation on an investment product that is made to a client.</w:t>
      </w:r>
      <w:r>
        <w:rPr>
          <w:rFonts w:eastAsia="Times New Roman"/>
        </w:rPr>
        <w:t xml:space="preserve"> </w:t>
      </w:r>
      <w:r>
        <w:rPr>
          <w:rFonts w:cs="Arial"/>
        </w:rPr>
        <w:t xml:space="preserve">Section 28 of the FAA provides that the MAS may by regulations determine the manner in which a financial adviser may receive or deal with client’s money or property or prohibit a financial adviser from receiving or dealing with client’s money or property in specified circumstances or in relation to specified activities. Section 29 imposes an obligation on a financial adviser to furnish information about any matter related to its business to the MAS if required by MAS for the discharge of its functions under the FAA. </w:t>
      </w:r>
      <w:r w:rsidRPr="00747265">
        <w:rPr>
          <w:rFonts w:eastAsia="Times New Roman"/>
        </w:rPr>
        <w:t xml:space="preserve">Section 36 of the FAA provides </w:t>
      </w:r>
      <w:r>
        <w:rPr>
          <w:rFonts w:eastAsia="Times New Roman"/>
        </w:rPr>
        <w:t xml:space="preserve">for certain disclosure of interest requirements when a financial adviser </w:t>
      </w:r>
      <w:r w:rsidRPr="00747265">
        <w:rPr>
          <w:rFonts w:eastAsia="Times New Roman"/>
        </w:rPr>
        <w:t>send</w:t>
      </w:r>
      <w:r>
        <w:rPr>
          <w:rFonts w:eastAsia="Times New Roman"/>
        </w:rPr>
        <w:t>s</w:t>
      </w:r>
      <w:r w:rsidRPr="00747265">
        <w:rPr>
          <w:rFonts w:eastAsia="Times New Roman"/>
        </w:rPr>
        <w:t xml:space="preserve"> a circular or other written communication in which a recommendation is made in respect of </w:t>
      </w:r>
      <w:r>
        <w:rPr>
          <w:rFonts w:eastAsia="Times New Roman"/>
        </w:rPr>
        <w:t>specified products (i.e. securities, specified securities-based derivatives contracts or units in a collective investment scheme).</w:t>
      </w:r>
    </w:p>
    <w:p w:rsidR="005F4344" w:rsidRDefault="005F4344" w:rsidP="005F4344">
      <w:pPr>
        <w:tabs>
          <w:tab w:val="left" w:pos="720"/>
        </w:tabs>
        <w:ind w:left="450" w:right="72"/>
        <w:jc w:val="both"/>
        <w:textAlignment w:val="baseline"/>
        <w:rPr>
          <w:rFonts w:eastAsia="Times New Roman"/>
          <w:b/>
        </w:rPr>
      </w:pPr>
    </w:p>
    <w:p w:rsidR="005F4344" w:rsidRDefault="005F4344" w:rsidP="005F4344">
      <w:pPr>
        <w:tabs>
          <w:tab w:val="left" w:pos="720"/>
        </w:tabs>
        <w:ind w:left="450" w:right="72"/>
        <w:jc w:val="both"/>
        <w:textAlignment w:val="baseline"/>
        <w:rPr>
          <w:rFonts w:eastAsia="Times New Roman"/>
          <w:b/>
          <w:i/>
        </w:rPr>
      </w:pPr>
      <w:r>
        <w:rPr>
          <w:rFonts w:eastAsia="Times New Roman"/>
          <w:b/>
          <w:i/>
        </w:rPr>
        <w:t>When we deal with you as an accredited investor, in the course of us providing advice or analyses on bonds, we will not be required to comply with the requirements set out in sections 26 to 29 and 36 of the FAA. You are therefore not protected by these requirements.</w:t>
      </w:r>
    </w:p>
    <w:p w:rsidR="005F4344" w:rsidRPr="00D65F91" w:rsidRDefault="005F4344" w:rsidP="005F4344">
      <w:pPr>
        <w:tabs>
          <w:tab w:val="left" w:pos="720"/>
        </w:tabs>
        <w:ind w:left="450" w:right="72"/>
        <w:jc w:val="both"/>
        <w:textAlignment w:val="baseline"/>
        <w:rPr>
          <w:rFonts w:eastAsia="Times New Roman"/>
          <w:b/>
        </w:rPr>
      </w:pPr>
    </w:p>
    <w:p w:rsidR="005F4344" w:rsidRPr="00D65F91" w:rsidRDefault="005F4344" w:rsidP="005F4344">
      <w:pPr>
        <w:pStyle w:val="ListParagraph"/>
        <w:numPr>
          <w:ilvl w:val="0"/>
          <w:numId w:val="17"/>
        </w:numPr>
        <w:tabs>
          <w:tab w:val="left" w:pos="720"/>
        </w:tabs>
        <w:ind w:right="72" w:hanging="450"/>
        <w:jc w:val="both"/>
        <w:textAlignment w:val="baseline"/>
        <w:rPr>
          <w:rFonts w:eastAsia="Times New Roman"/>
          <w:b/>
        </w:rPr>
      </w:pPr>
      <w:r>
        <w:rPr>
          <w:rFonts w:eastAsia="Times New Roman"/>
          <w:b/>
        </w:rPr>
        <w:t xml:space="preserve">Regulation 32C of the FAR. </w:t>
      </w:r>
      <w:r>
        <w:rPr>
          <w:rFonts w:eastAsia="Times New Roman"/>
        </w:rPr>
        <w:t xml:space="preserve">Regulation 32C of the FAR exempts a foreign research house from having to hold a financial adviser’s licence in respect of advising others by issuing or promulgating any research analyses or research reports concerning any investment product to any investor under an arrangement between the foreign research house and a financial adviser in Singapore, subject to certain conditions. These include a condition that where the research analysis or research report is issued or promulgated to a person who is not an accredited investor, expert investor or institutional investor, the analysis or report must contain </w:t>
      </w:r>
      <w:r>
        <w:rPr>
          <w:rFonts w:eastAsia="Times New Roman"/>
        </w:rPr>
        <w:lastRenderedPageBreak/>
        <w:t>a statement to the effect that the financial adviser in Singapore accepts legal responsibility for the contents of the analysis or report without any disclaimer limiting or otherwise curtailing such responsibility.</w:t>
      </w:r>
    </w:p>
    <w:p w:rsidR="005F4344" w:rsidRDefault="005F4344" w:rsidP="005F4344">
      <w:pPr>
        <w:pStyle w:val="ListParagraph"/>
        <w:tabs>
          <w:tab w:val="left" w:pos="720"/>
        </w:tabs>
        <w:ind w:left="450" w:right="72"/>
        <w:jc w:val="both"/>
        <w:textAlignment w:val="baseline"/>
        <w:rPr>
          <w:rFonts w:eastAsia="Times New Roman"/>
          <w:b/>
        </w:rPr>
      </w:pPr>
    </w:p>
    <w:p w:rsidR="005F4344" w:rsidRPr="00D65F91" w:rsidRDefault="005F4344" w:rsidP="005F4344">
      <w:pPr>
        <w:pStyle w:val="ListParagraph"/>
        <w:tabs>
          <w:tab w:val="left" w:pos="720"/>
        </w:tabs>
        <w:ind w:left="450" w:right="72"/>
        <w:jc w:val="both"/>
        <w:textAlignment w:val="baseline"/>
        <w:rPr>
          <w:rFonts w:eastAsia="Times New Roman"/>
          <w:b/>
          <w:i/>
        </w:rPr>
      </w:pPr>
      <w:r>
        <w:rPr>
          <w:rFonts w:eastAsia="Times New Roman"/>
          <w:b/>
          <w:i/>
        </w:rPr>
        <w:t>When we deal with you as an accredited investor, we need not expressly accept legal responsibility for the contents of any research analysis or research report issued or promulgated to you pursuant to an arrangement between us and a foreign research house. We are also not limited by the requirement to not include a disclaimer limiting or otherwise curtailing such legal responsibility. You are therefore not protected by these requirements under Regulation 32C of the FAR.</w:t>
      </w:r>
    </w:p>
    <w:p w:rsidR="005F4344" w:rsidRDefault="005F4344" w:rsidP="005F4344">
      <w:pPr>
        <w:pStyle w:val="ListParagraph"/>
        <w:tabs>
          <w:tab w:val="left" w:pos="720"/>
        </w:tabs>
        <w:ind w:left="450" w:right="72"/>
        <w:jc w:val="both"/>
        <w:textAlignment w:val="baseline"/>
        <w:rPr>
          <w:rFonts w:eastAsia="Times New Roman"/>
          <w:b/>
        </w:rPr>
      </w:pPr>
      <w:r>
        <w:rPr>
          <w:rFonts w:eastAsia="Times New Roman"/>
        </w:rPr>
        <w:t xml:space="preserve"> </w:t>
      </w:r>
    </w:p>
    <w:p w:rsidR="005F4344" w:rsidRPr="00747265" w:rsidRDefault="005F4344" w:rsidP="005F4344">
      <w:pPr>
        <w:pStyle w:val="ListParagraph"/>
        <w:numPr>
          <w:ilvl w:val="0"/>
          <w:numId w:val="17"/>
        </w:numPr>
        <w:tabs>
          <w:tab w:val="left" w:pos="720"/>
        </w:tabs>
        <w:ind w:right="72"/>
        <w:jc w:val="both"/>
        <w:textAlignment w:val="baseline"/>
        <w:rPr>
          <w:rFonts w:eastAsia="Times New Roman"/>
          <w:b/>
        </w:rPr>
      </w:pPr>
      <w:r w:rsidRPr="00747265">
        <w:rPr>
          <w:rFonts w:eastAsia="Times New Roman"/>
          <w:b/>
        </w:rPr>
        <w:t>Section 25 of the FAA</w:t>
      </w:r>
      <w:r>
        <w:rPr>
          <w:rFonts w:eastAsia="Times New Roman"/>
          <w:b/>
        </w:rPr>
        <w:t>,</w:t>
      </w:r>
      <w:r w:rsidRPr="00747265">
        <w:rPr>
          <w:rFonts w:eastAsia="Times New Roman"/>
          <w:b/>
        </w:rPr>
        <w:t xml:space="preserve"> MAS Notice on Information to Clients and Product Information Disclosure [Notice </w:t>
      </w:r>
      <w:r>
        <w:rPr>
          <w:rFonts w:eastAsia="Times New Roman"/>
          <w:b/>
        </w:rPr>
        <w:t xml:space="preserve">No. </w:t>
      </w:r>
      <w:r w:rsidRPr="00747265">
        <w:rPr>
          <w:rFonts w:eastAsia="Times New Roman"/>
          <w:b/>
        </w:rPr>
        <w:t>FAA-N03]</w:t>
      </w:r>
      <w:r w:rsidRPr="001101DF">
        <w:rPr>
          <w:rFonts w:eastAsia="Times New Roman"/>
          <w:b/>
        </w:rPr>
        <w:t xml:space="preserve"> </w:t>
      </w:r>
      <w:r>
        <w:rPr>
          <w:rFonts w:eastAsia="Times New Roman"/>
          <w:b/>
        </w:rPr>
        <w:t>and MAS Practice Note on the Disclosure of Remuneration by Financial Advisers [Practice Note No. FAA-PN01]</w:t>
      </w:r>
      <w:r w:rsidRPr="003F5FAC">
        <w:rPr>
          <w:rFonts w:eastAsia="Times New Roman"/>
          <w:b/>
        </w:rPr>
        <w:t>.</w:t>
      </w:r>
      <w:r w:rsidRPr="00747265">
        <w:rPr>
          <w:rFonts w:eastAsia="Times New Roman"/>
        </w:rPr>
        <w:t xml:space="preserve"> Section 25 of the FAA imposes an obligation on a financial adviser to disclose to its clients and prospective clients all material information relating to any designated investment product recommended by the financial adviser, </w:t>
      </w:r>
      <w:r w:rsidR="004951A2">
        <w:rPr>
          <w:rFonts w:eastAsia="Times New Roman"/>
        </w:rPr>
        <w:t>and provides that MAS may prescribe</w:t>
      </w:r>
      <w:r w:rsidR="004951A2" w:rsidRPr="00747265">
        <w:rPr>
          <w:rFonts w:eastAsia="Times New Roman"/>
        </w:rPr>
        <w:t xml:space="preserve"> </w:t>
      </w:r>
      <w:r w:rsidRPr="00747265">
        <w:rPr>
          <w:rFonts w:eastAsia="Times New Roman"/>
        </w:rPr>
        <w:t>the form and manner in which the information shall be disclosed. “</w:t>
      </w:r>
      <w:r w:rsidRPr="00747265">
        <w:rPr>
          <w:rFonts w:eastAsia="Times New Roman"/>
          <w:b/>
        </w:rPr>
        <w:t>Material information</w:t>
      </w:r>
      <w:r w:rsidRPr="00747265">
        <w:rPr>
          <w:rFonts w:eastAsia="Times New Roman"/>
        </w:rPr>
        <w:t>” includes the terms and conditions of the designated investment product and the benefits and risks that may arise from the designated investment product.</w:t>
      </w:r>
    </w:p>
    <w:p w:rsidR="005F4344" w:rsidRPr="00747265" w:rsidRDefault="005F4344" w:rsidP="005F4344">
      <w:pPr>
        <w:pStyle w:val="ListParagraph"/>
        <w:tabs>
          <w:tab w:val="left" w:pos="720"/>
        </w:tabs>
        <w:ind w:left="432" w:right="72"/>
        <w:jc w:val="both"/>
        <w:textAlignment w:val="baseline"/>
        <w:rPr>
          <w:rFonts w:eastAsia="Times New Roman"/>
          <w:b/>
        </w:rPr>
      </w:pPr>
    </w:p>
    <w:p w:rsidR="005F4344" w:rsidRPr="00747265" w:rsidRDefault="005F4344" w:rsidP="005F4344">
      <w:pPr>
        <w:ind w:left="426" w:right="72"/>
        <w:jc w:val="both"/>
        <w:textAlignment w:val="baseline"/>
        <w:rPr>
          <w:rFonts w:eastAsia="Times New Roman"/>
          <w:spacing w:val="2"/>
        </w:rPr>
      </w:pPr>
      <w:r w:rsidRPr="00747265">
        <w:rPr>
          <w:rFonts w:eastAsia="Times New Roman"/>
          <w:spacing w:val="2"/>
        </w:rPr>
        <w:t>The MAS Notice on Information to Clients and Product Information Disclosure [Notice No. FAA-N03] sets out the standards to be maintained by a financial adviser and its representatives with respect to the information they disclose to clients. The Notice also sets out the general principles that apply to all disclosures by a financial adviser to its clients and the specific requirements as to the form and manner of disclosure that the financial adviser has to comply with in relation to, among others, section 25 of the FAA.</w:t>
      </w:r>
      <w:r>
        <w:rPr>
          <w:rFonts w:eastAsia="Times New Roman"/>
          <w:spacing w:val="2"/>
        </w:rPr>
        <w:t xml:space="preserve"> This is supplemented by the </w:t>
      </w:r>
      <w:r w:rsidRPr="006B0A5B">
        <w:rPr>
          <w:rFonts w:eastAsia="Times New Roman"/>
          <w:spacing w:val="2"/>
        </w:rPr>
        <w:t xml:space="preserve">MAS Practice Note on </w:t>
      </w:r>
      <w:r>
        <w:rPr>
          <w:rFonts w:eastAsia="Times New Roman"/>
          <w:spacing w:val="2"/>
        </w:rPr>
        <w:t>t</w:t>
      </w:r>
      <w:r w:rsidRPr="006B0A5B">
        <w:rPr>
          <w:rFonts w:eastAsia="Times New Roman"/>
          <w:spacing w:val="2"/>
        </w:rPr>
        <w:t>he Disclosure of Remuneration by Financial Advisers</w:t>
      </w:r>
      <w:r>
        <w:rPr>
          <w:rFonts w:eastAsia="Times New Roman"/>
          <w:spacing w:val="2"/>
        </w:rPr>
        <w:t xml:space="preserve">, which provides guidance on the requirements imposed on a financial adviser in relation to disclosing the remuneration that it receives or will receive for </w:t>
      </w:r>
      <w:r w:rsidRPr="006B0A5B">
        <w:rPr>
          <w:rFonts w:eastAsia="Times New Roman"/>
          <w:spacing w:val="2"/>
        </w:rPr>
        <w:t>making any recommendations in respe</w:t>
      </w:r>
      <w:r>
        <w:rPr>
          <w:rFonts w:eastAsia="Times New Roman"/>
          <w:spacing w:val="2"/>
        </w:rPr>
        <w:t xml:space="preserve">ct of an investment product, or </w:t>
      </w:r>
      <w:r w:rsidRPr="006B0A5B">
        <w:rPr>
          <w:rFonts w:eastAsia="Times New Roman"/>
          <w:spacing w:val="2"/>
        </w:rPr>
        <w:t>executing a purchase or sale contract rela</w:t>
      </w:r>
      <w:r>
        <w:rPr>
          <w:rFonts w:eastAsia="Times New Roman"/>
          <w:spacing w:val="2"/>
        </w:rPr>
        <w:t xml:space="preserve">ting to a designated investment </w:t>
      </w:r>
      <w:r w:rsidRPr="006B0A5B">
        <w:rPr>
          <w:rFonts w:eastAsia="Times New Roman"/>
          <w:spacing w:val="2"/>
        </w:rPr>
        <w:t>product on their clients’ behalf</w:t>
      </w:r>
      <w:r>
        <w:rPr>
          <w:rFonts w:eastAsia="Times New Roman"/>
          <w:spacing w:val="2"/>
        </w:rPr>
        <w:t>.</w:t>
      </w:r>
    </w:p>
    <w:p w:rsidR="005F4344" w:rsidRPr="00747265" w:rsidRDefault="005F4344" w:rsidP="005F4344">
      <w:pPr>
        <w:ind w:right="72"/>
        <w:jc w:val="both"/>
        <w:textAlignment w:val="baseline"/>
        <w:rPr>
          <w:rFonts w:eastAsia="Times New Roman"/>
          <w:spacing w:val="2"/>
        </w:rPr>
      </w:pPr>
    </w:p>
    <w:p w:rsidR="005F4344" w:rsidRPr="00D65F91" w:rsidRDefault="005F4344" w:rsidP="005F4344">
      <w:pPr>
        <w:ind w:left="426" w:right="72"/>
        <w:jc w:val="both"/>
        <w:textAlignment w:val="baseline"/>
        <w:rPr>
          <w:rFonts w:eastAsia="Times New Roman"/>
          <w:b/>
          <w:i/>
        </w:rPr>
      </w:pPr>
      <w:r w:rsidRPr="00D65F91">
        <w:rPr>
          <w:rFonts w:eastAsia="Times New Roman"/>
          <w:b/>
          <w:i/>
        </w:rPr>
        <w:t xml:space="preserve">As a result of our exemption from compliance with these requirements when we deal with you as an accredited investor, we are not under any statutory obligation to provide you with all material information on any designated investment product in the prescribed form and manner, e.g. the benefits and risks of the designated investment product and the illustration of past and future performance of the designated investment product. You are therefore not protected by the disclosure requirements in section 25 of the FAA and MAS Notice on Information to Clients and Product Information Disclosure [Notice No. </w:t>
      </w:r>
      <w:proofErr w:type="gramStart"/>
      <w:r w:rsidRPr="00D65F91">
        <w:rPr>
          <w:rFonts w:eastAsia="Times New Roman"/>
          <w:b/>
          <w:i/>
        </w:rPr>
        <w:t>FAA-N03]</w:t>
      </w:r>
      <w:r w:rsidRPr="0058049C">
        <w:rPr>
          <w:rFonts w:eastAsia="Times New Roman"/>
          <w:b/>
          <w:i/>
        </w:rPr>
        <w:t xml:space="preserve"> </w:t>
      </w:r>
      <w:r w:rsidRPr="006B0A5B">
        <w:rPr>
          <w:rFonts w:eastAsia="Times New Roman"/>
          <w:b/>
          <w:i/>
        </w:rPr>
        <w:t xml:space="preserve">and the MAS Practice Note on </w:t>
      </w:r>
      <w:r>
        <w:rPr>
          <w:rFonts w:eastAsia="Times New Roman"/>
          <w:b/>
          <w:i/>
        </w:rPr>
        <w:t>t</w:t>
      </w:r>
      <w:r w:rsidRPr="006B0A5B">
        <w:rPr>
          <w:rFonts w:eastAsia="Times New Roman"/>
          <w:b/>
          <w:i/>
        </w:rPr>
        <w:t>he Disclosure of Remuneration by Financial Advisers [Practice Note No.</w:t>
      </w:r>
      <w:proofErr w:type="gramEnd"/>
      <w:r w:rsidRPr="006B0A5B">
        <w:rPr>
          <w:rFonts w:eastAsia="Times New Roman"/>
          <w:b/>
          <w:i/>
        </w:rPr>
        <w:t xml:space="preserve"> </w:t>
      </w:r>
      <w:proofErr w:type="gramStart"/>
      <w:r w:rsidRPr="006B0A5B">
        <w:rPr>
          <w:rFonts w:eastAsia="Times New Roman"/>
          <w:b/>
          <w:i/>
        </w:rPr>
        <w:t>FAA-PN01]</w:t>
      </w:r>
      <w:r w:rsidRPr="00D65F91">
        <w:rPr>
          <w:rFonts w:eastAsia="Times New Roman"/>
          <w:b/>
          <w:i/>
        </w:rPr>
        <w:t>.</w:t>
      </w:r>
      <w:proofErr w:type="gramEnd"/>
    </w:p>
    <w:p w:rsidR="005F4344" w:rsidRPr="00747265" w:rsidRDefault="005F4344" w:rsidP="005F4344">
      <w:pPr>
        <w:ind w:left="426" w:right="72"/>
        <w:jc w:val="both"/>
        <w:textAlignment w:val="baseline"/>
        <w:rPr>
          <w:rFonts w:eastAsia="Times New Roman"/>
        </w:rPr>
      </w:pPr>
    </w:p>
    <w:p w:rsidR="005F4344" w:rsidRPr="00747265" w:rsidRDefault="005F4344" w:rsidP="005F4344">
      <w:pPr>
        <w:pStyle w:val="ListParagraph"/>
        <w:numPr>
          <w:ilvl w:val="0"/>
          <w:numId w:val="17"/>
        </w:numPr>
        <w:tabs>
          <w:tab w:val="decimal" w:pos="1080"/>
        </w:tabs>
        <w:ind w:right="72"/>
        <w:jc w:val="both"/>
        <w:textAlignment w:val="baseline"/>
        <w:rPr>
          <w:rFonts w:eastAsia="Times New Roman"/>
          <w:b/>
        </w:rPr>
      </w:pPr>
      <w:r w:rsidRPr="00747265">
        <w:rPr>
          <w:rFonts w:eastAsia="Times New Roman"/>
          <w:b/>
        </w:rPr>
        <w:t>Section 27 of the FAA and MAS Notice on Recommendations on Investment Products [Notice No. FAA-N16].</w:t>
      </w:r>
      <w:r w:rsidRPr="00747265">
        <w:rPr>
          <w:rFonts w:eastAsia="Times New Roman"/>
        </w:rPr>
        <w:t xml:space="preserve"> Section 27 of the FAA requires a financial adviser to have a reasonable basis for any recommendation on an investment product that is made to a client. </w:t>
      </w:r>
      <w:r w:rsidRPr="00747265">
        <w:rPr>
          <w:rFonts w:eastAsia="Times New Roman"/>
        </w:rPr>
        <w:lastRenderedPageBreak/>
        <w:t>The financial adviser is required to give consideration to the investment objectives, financial situation and particular needs of the client</w:t>
      </w:r>
      <w:r w:rsidRPr="00DC01A6">
        <w:rPr>
          <w:rFonts w:eastAsia="Times New Roman"/>
        </w:rPr>
        <w:t>, and to conduct investigation on the investment product that is the subject matter of the recommendation, as is reasonable in all the circumstances</w:t>
      </w:r>
      <w:r w:rsidRPr="00747265">
        <w:rPr>
          <w:rFonts w:eastAsia="Times New Roman"/>
        </w:rPr>
        <w:t>. Failure to do so could, if certain conditions are satisfied, give the client a statutory cause of action to file a civil claim against the financial adviser for investment losses suffered by the client.</w:t>
      </w:r>
      <w:r>
        <w:rPr>
          <w:rFonts w:eastAsia="Times New Roman"/>
        </w:rPr>
        <w:t xml:space="preserve"> </w:t>
      </w:r>
      <w:r w:rsidRPr="00DC01A6">
        <w:rPr>
          <w:rFonts w:eastAsia="Times New Roman"/>
        </w:rPr>
        <w:t>The conditions are that the client suffers loss or damage as a result of doing a particular act (or refraining from doing a particular act) in reliance on the recommendation, where it is reasonable (having regard to the recommendation and all other circumstances) for the client to have done so in reliance on the recommendation.</w:t>
      </w:r>
    </w:p>
    <w:p w:rsidR="005F4344" w:rsidRPr="00747265" w:rsidRDefault="005F4344" w:rsidP="005F4344">
      <w:pPr>
        <w:pStyle w:val="ListParagraph"/>
        <w:tabs>
          <w:tab w:val="decimal" w:pos="1080"/>
        </w:tabs>
        <w:ind w:left="432" w:right="72"/>
        <w:jc w:val="both"/>
        <w:textAlignment w:val="baseline"/>
        <w:rPr>
          <w:rFonts w:eastAsia="Times New Roman"/>
          <w:b/>
        </w:rPr>
      </w:pPr>
    </w:p>
    <w:p w:rsidR="005F4344" w:rsidRDefault="005F4344" w:rsidP="005F4344">
      <w:pPr>
        <w:ind w:left="426"/>
        <w:jc w:val="both"/>
        <w:rPr>
          <w:rFonts w:eastAsia="Times New Roman"/>
        </w:rPr>
      </w:pPr>
      <w:r w:rsidRPr="00747265">
        <w:rPr>
          <w:rFonts w:eastAsia="Times New Roman"/>
          <w:spacing w:val="1"/>
        </w:rPr>
        <w:t>The MAS Notice on Recommendations on Investment Products [Notice No. FAA-N16] sets out requirements which apply to a financial adviser when it makes recommendations on investment products to its clients. In particular, the Notice sets out: (</w:t>
      </w:r>
      <w:proofErr w:type="spellStart"/>
      <w:r w:rsidRPr="00747265">
        <w:rPr>
          <w:rFonts w:eastAsia="Times New Roman"/>
          <w:spacing w:val="1"/>
        </w:rPr>
        <w:t>i</w:t>
      </w:r>
      <w:proofErr w:type="spellEnd"/>
      <w:r w:rsidRPr="00747265">
        <w:rPr>
          <w:rFonts w:eastAsia="Times New Roman"/>
          <w:spacing w:val="1"/>
        </w:rPr>
        <w:t xml:space="preserve">) the type of information the financial adviser needs to gather from its client as part of the “know your client” process; (ii) the manner in which the financial adviser should conduct its analysis of the client’s financial needs and how it should present its investment recommendations; and (iii) documentation and record keeping requirements relating to this process. </w:t>
      </w:r>
      <w:r w:rsidRPr="00F72A94">
        <w:rPr>
          <w:rFonts w:eastAsia="Times New Roman"/>
          <w:spacing w:val="1"/>
        </w:rPr>
        <w:t>In this connection, a financial adviser is required to ensure that, before it makes any recommendation on an investment product which is neither listed nor quoted on a</w:t>
      </w:r>
      <w:r w:rsidR="004951A2">
        <w:rPr>
          <w:rFonts w:eastAsia="Times New Roman"/>
          <w:spacing w:val="1"/>
        </w:rPr>
        <w:t>n</w:t>
      </w:r>
      <w:r w:rsidRPr="00F72A94">
        <w:rPr>
          <w:rFonts w:eastAsia="Times New Roman"/>
          <w:spacing w:val="1"/>
        </w:rPr>
        <w:t xml:space="preserve"> </w:t>
      </w:r>
      <w:r w:rsidR="0018036D">
        <w:rPr>
          <w:rFonts w:eastAsia="Times New Roman"/>
          <w:spacing w:val="1"/>
        </w:rPr>
        <w:t>organised</w:t>
      </w:r>
      <w:r w:rsidRPr="00F72A94">
        <w:rPr>
          <w:rFonts w:eastAsia="Times New Roman"/>
          <w:spacing w:val="1"/>
        </w:rPr>
        <w:t xml:space="preserve"> </w:t>
      </w:r>
      <w:proofErr w:type="gramStart"/>
      <w:r w:rsidRPr="00F72A94">
        <w:rPr>
          <w:rFonts w:eastAsia="Times New Roman"/>
          <w:spacing w:val="1"/>
        </w:rPr>
        <w:t>market,</w:t>
      </w:r>
      <w:proofErr w:type="gramEnd"/>
      <w:r w:rsidRPr="00F72A94">
        <w:rPr>
          <w:rFonts w:eastAsia="Times New Roman"/>
          <w:spacing w:val="1"/>
        </w:rPr>
        <w:t xml:space="preserve"> it has been informed by the product manufacturer of the investment product as to whether the investment product is a “Specified Investment Product” (“</w:t>
      </w:r>
      <w:r w:rsidRPr="00F72A94">
        <w:rPr>
          <w:rFonts w:eastAsia="Times New Roman"/>
          <w:b/>
          <w:spacing w:val="1"/>
        </w:rPr>
        <w:t>SIP</w:t>
      </w:r>
      <w:r w:rsidRPr="00F72A94">
        <w:rPr>
          <w:rFonts w:eastAsia="Times New Roman"/>
          <w:spacing w:val="1"/>
        </w:rPr>
        <w:t>”). The financial adviser is required to keep proper records of such information and accordingly convey this information to a client who intends to transact in the investment product. SIPs include collective investment schemes and structured notes.</w:t>
      </w:r>
      <w:r w:rsidR="00C224F6">
        <w:rPr>
          <w:rFonts w:eastAsia="Times New Roman"/>
          <w:spacing w:val="1"/>
        </w:rPr>
        <w:t xml:space="preserve"> A financial adviser is required to conduct a review of a client’s knowledge and experience in derivatives for the purpose of making a recommendation to the client on, or allowing the client to transact in, a SIP which is approved in-principle for listing and quotation on, or listed for quotation or quoted on, an organised market (“</w:t>
      </w:r>
      <w:r w:rsidR="00C224F6" w:rsidRPr="005266C8">
        <w:rPr>
          <w:rFonts w:eastAsia="Times New Roman"/>
          <w:b/>
          <w:spacing w:val="1"/>
        </w:rPr>
        <w:t>Listed SIP</w:t>
      </w:r>
      <w:r w:rsidR="00C224F6">
        <w:rPr>
          <w:rFonts w:eastAsia="Times New Roman"/>
          <w:spacing w:val="1"/>
        </w:rPr>
        <w:t>”), before making a recommendation on any Listed SIP (“</w:t>
      </w:r>
      <w:r w:rsidR="00C224F6">
        <w:rPr>
          <w:rFonts w:eastAsia="Times New Roman"/>
          <w:b/>
          <w:spacing w:val="1"/>
        </w:rPr>
        <w:t>Customer Account Review</w:t>
      </w:r>
      <w:r w:rsidR="00C224F6">
        <w:rPr>
          <w:rFonts w:eastAsia="Times New Roman"/>
          <w:spacing w:val="1"/>
        </w:rPr>
        <w:t>”). Alternatively,</w:t>
      </w:r>
      <w:r w:rsidRPr="00F72A94">
        <w:rPr>
          <w:rFonts w:eastAsia="Times New Roman"/>
          <w:spacing w:val="1"/>
        </w:rPr>
        <w:t xml:space="preserve"> </w:t>
      </w:r>
      <w:r w:rsidR="00C224F6">
        <w:rPr>
          <w:rFonts w:eastAsia="Times New Roman"/>
          <w:spacing w:val="1"/>
        </w:rPr>
        <w:t>i</w:t>
      </w:r>
      <w:r w:rsidRPr="00F72A94">
        <w:rPr>
          <w:rFonts w:eastAsia="Times New Roman"/>
          <w:spacing w:val="1"/>
        </w:rPr>
        <w:t>f an investment product is an unlisted or unquoted SIP, prior to making a recommendation on such investment product, a financial adviser is required to conduct an assessment of the client’s knowledge and experience in unlisted and unquoted SIPs (“</w:t>
      </w:r>
      <w:r w:rsidRPr="00F72A94">
        <w:rPr>
          <w:rFonts w:eastAsia="Times New Roman"/>
          <w:b/>
          <w:spacing w:val="1"/>
        </w:rPr>
        <w:t>Customer Knowledge Assessment</w:t>
      </w:r>
      <w:r w:rsidRPr="00F72A94">
        <w:rPr>
          <w:rFonts w:eastAsia="Times New Roman"/>
          <w:spacing w:val="1"/>
        </w:rPr>
        <w:t>”)</w:t>
      </w:r>
      <w:r w:rsidR="00C224F6">
        <w:rPr>
          <w:rFonts w:eastAsia="Times New Roman"/>
          <w:spacing w:val="1"/>
        </w:rPr>
        <w:t>. In both cases, the financial adviser must take</w:t>
      </w:r>
      <w:r w:rsidRPr="00F72A94">
        <w:rPr>
          <w:rFonts w:eastAsia="Times New Roman"/>
          <w:spacing w:val="1"/>
        </w:rPr>
        <w:t xml:space="preserve"> into account information on the client’s educational qualifications, investment experience and work experience</w:t>
      </w:r>
      <w:r w:rsidR="00CA01C2">
        <w:rPr>
          <w:rFonts w:eastAsia="Times New Roman"/>
          <w:spacing w:val="1"/>
        </w:rPr>
        <w:t>, where the client is a natural person</w:t>
      </w:r>
      <w:r w:rsidRPr="00F72A94">
        <w:rPr>
          <w:rFonts w:eastAsia="Times New Roman"/>
          <w:spacing w:val="1"/>
        </w:rPr>
        <w:t>. The financial adviser is required to comply with various procedures (“</w:t>
      </w:r>
      <w:r w:rsidRPr="00F72A94">
        <w:rPr>
          <w:rFonts w:eastAsia="Times New Roman"/>
          <w:b/>
          <w:spacing w:val="1"/>
        </w:rPr>
        <w:t>Procedures</w:t>
      </w:r>
      <w:r w:rsidRPr="00F72A94">
        <w:rPr>
          <w:rFonts w:eastAsia="Times New Roman"/>
          <w:spacing w:val="1"/>
        </w:rPr>
        <w:t xml:space="preserve">”) </w:t>
      </w:r>
      <w:r w:rsidRPr="00F72A94">
        <w:rPr>
          <w:rFonts w:eastAsia="Times New Roman"/>
        </w:rPr>
        <w:t xml:space="preserve">depending on whether the client has the requisite knowledge and experience in the </w:t>
      </w:r>
      <w:r w:rsidR="00C27D55">
        <w:rPr>
          <w:rFonts w:eastAsia="Times New Roman"/>
        </w:rPr>
        <w:t xml:space="preserve">Listed SIP or the </w:t>
      </w:r>
      <w:r w:rsidRPr="00F72A94">
        <w:rPr>
          <w:rFonts w:eastAsia="Times New Roman"/>
        </w:rPr>
        <w:t>unlisted or unquoted SIP</w:t>
      </w:r>
      <w:r w:rsidR="00C27D55">
        <w:rPr>
          <w:rFonts w:eastAsia="Times New Roman"/>
        </w:rPr>
        <w:t xml:space="preserve"> (as the case may be)</w:t>
      </w:r>
      <w:r w:rsidRPr="00F72A94">
        <w:rPr>
          <w:rFonts w:eastAsia="Times New Roman"/>
        </w:rPr>
        <w:t>, including the provision of financial advice and/or obtaining senior management approvals.</w:t>
      </w:r>
      <w:r>
        <w:rPr>
          <w:rFonts w:eastAsia="Times New Roman"/>
        </w:rPr>
        <w:t xml:space="preserve"> </w:t>
      </w:r>
    </w:p>
    <w:p w:rsidR="00C27D55" w:rsidRDefault="00C27D55" w:rsidP="005F4344">
      <w:pPr>
        <w:ind w:left="426"/>
        <w:jc w:val="both"/>
        <w:rPr>
          <w:rFonts w:eastAsia="Times New Roman"/>
        </w:rPr>
      </w:pPr>
      <w:r>
        <w:rPr>
          <w:rFonts w:eastAsia="Times New Roman"/>
        </w:rPr>
        <w:t>A financial adviser is also required to furnish a client with certain prescribed risk warning statements before making a recommendation on any overseas-listed investment product (“</w:t>
      </w:r>
      <w:r>
        <w:rPr>
          <w:rFonts w:eastAsia="Times New Roman"/>
          <w:b/>
        </w:rPr>
        <w:t>Overseas-Listed Investment Product</w:t>
      </w:r>
      <w:r>
        <w:rPr>
          <w:rFonts w:eastAsia="Times New Roman"/>
        </w:rPr>
        <w:t xml:space="preserve">”) for the first time on or after 8 October 2018, and obtain the customer’s acknowledgement in respect of such risk warning statement. </w:t>
      </w:r>
    </w:p>
    <w:p w:rsidR="00C27D55" w:rsidRPr="00747265" w:rsidRDefault="00C27D55" w:rsidP="005F4344">
      <w:pPr>
        <w:ind w:left="426"/>
        <w:jc w:val="both"/>
        <w:rPr>
          <w:rFonts w:eastAsia="Times New Roman"/>
        </w:rPr>
      </w:pPr>
    </w:p>
    <w:p w:rsidR="005F4344" w:rsidRPr="00D65F91" w:rsidRDefault="005F4344" w:rsidP="005F4344">
      <w:pPr>
        <w:ind w:left="426" w:right="72"/>
        <w:jc w:val="both"/>
        <w:textAlignment w:val="baseline"/>
        <w:rPr>
          <w:rFonts w:eastAsia="Times New Roman"/>
          <w:b/>
          <w:i/>
        </w:rPr>
      </w:pPr>
      <w:r w:rsidRPr="00D65F91">
        <w:rPr>
          <w:rFonts w:eastAsia="Times New Roman"/>
          <w:b/>
          <w:i/>
        </w:rPr>
        <w:t xml:space="preserve">As a result of our exemption from compliance with these requirements when we deal with you as an accredited investor, we are not under any statutory obligation to ensure that we have regard to the information possessed by us concerning your investment objectives, financial situation and particular needs and have given consideration to and </w:t>
      </w:r>
      <w:r w:rsidRPr="00D65F91">
        <w:rPr>
          <w:rFonts w:eastAsia="Times New Roman"/>
          <w:b/>
          <w:i/>
        </w:rPr>
        <w:lastRenderedPageBreak/>
        <w:t xml:space="preserve">conducted investigation of the subject matter of any recommendation, and that the recommendation is based on such consideration and investigation. </w:t>
      </w:r>
      <w:r w:rsidRPr="00F72A94">
        <w:rPr>
          <w:rFonts w:eastAsia="Times New Roman"/>
          <w:b/>
          <w:i/>
        </w:rPr>
        <w:t xml:space="preserve">We are also not statutorily required to conduct a </w:t>
      </w:r>
      <w:r w:rsidR="00C27D55">
        <w:rPr>
          <w:rFonts w:eastAsia="Times New Roman"/>
          <w:b/>
          <w:i/>
        </w:rPr>
        <w:t xml:space="preserve">Customer Account Review or </w:t>
      </w:r>
      <w:r w:rsidRPr="00F72A94">
        <w:rPr>
          <w:rFonts w:eastAsia="Times New Roman"/>
          <w:b/>
          <w:i/>
        </w:rPr>
        <w:t>Customer Knowledge Assessment to determine your investment experience and knowledge</w:t>
      </w:r>
      <w:r w:rsidR="008154F0">
        <w:rPr>
          <w:rFonts w:eastAsia="Times New Roman"/>
          <w:b/>
          <w:i/>
        </w:rPr>
        <w:t xml:space="preserve"> </w:t>
      </w:r>
      <w:r w:rsidR="008154F0" w:rsidRPr="008154F0">
        <w:rPr>
          <w:rFonts w:eastAsia="Times New Roman"/>
          <w:b/>
          <w:i/>
        </w:rPr>
        <w:t>(which we would otherwise have been required to conduct if you are a natural person)</w:t>
      </w:r>
      <w:r w:rsidRPr="00F72A94">
        <w:rPr>
          <w:rFonts w:eastAsia="Times New Roman"/>
          <w:b/>
          <w:i/>
        </w:rPr>
        <w:t>, nor are we required to comply with the Procedures</w:t>
      </w:r>
      <w:r w:rsidR="00C27D55">
        <w:rPr>
          <w:rFonts w:eastAsia="Times New Roman"/>
          <w:b/>
          <w:i/>
        </w:rPr>
        <w:t xml:space="preserve"> or provide you with the prescribed risk warning statement for Overseas-Listed Investment Products</w:t>
      </w:r>
      <w:r w:rsidRPr="00F72A94">
        <w:rPr>
          <w:rFonts w:eastAsia="Times New Roman"/>
          <w:b/>
          <w:i/>
        </w:rPr>
        <w:t>.</w:t>
      </w:r>
      <w:r>
        <w:rPr>
          <w:rFonts w:eastAsia="Times New Roman"/>
        </w:rPr>
        <w:t xml:space="preserve"> </w:t>
      </w:r>
      <w:r w:rsidRPr="00D65F91">
        <w:rPr>
          <w:rFonts w:eastAsia="Times New Roman"/>
          <w:b/>
          <w:i/>
        </w:rPr>
        <w:t xml:space="preserve">Further, you will not be able to rely on section 27 of the FAA in any claim against us for losses that may be suffered in respect of any investment that we may have recommended to you. You are therefore not protected by the requirements of section 27 of the FAA and MAS Notice on Recommendations on Investment Products [Notice No. </w:t>
      </w:r>
      <w:proofErr w:type="gramStart"/>
      <w:r w:rsidRPr="00D65F91">
        <w:rPr>
          <w:rFonts w:eastAsia="Times New Roman"/>
          <w:b/>
          <w:i/>
        </w:rPr>
        <w:t>FAA-N16].</w:t>
      </w:r>
      <w:proofErr w:type="gramEnd"/>
    </w:p>
    <w:p w:rsidR="005F4344" w:rsidRPr="00747265" w:rsidRDefault="005F4344" w:rsidP="005F4344">
      <w:pPr>
        <w:ind w:left="426" w:right="72"/>
        <w:jc w:val="both"/>
        <w:textAlignment w:val="baseline"/>
        <w:rPr>
          <w:rFonts w:eastAsia="Times New Roman"/>
        </w:rPr>
      </w:pPr>
    </w:p>
    <w:p w:rsidR="005F4344" w:rsidRPr="00747265" w:rsidRDefault="005F4344" w:rsidP="005266C8">
      <w:pPr>
        <w:numPr>
          <w:ilvl w:val="0"/>
          <w:numId w:val="17"/>
        </w:numPr>
        <w:ind w:right="117"/>
        <w:jc w:val="both"/>
        <w:textAlignment w:val="baseline"/>
        <w:rPr>
          <w:rFonts w:eastAsia="Times New Roman"/>
          <w:b/>
        </w:rPr>
      </w:pPr>
      <w:r w:rsidRPr="00747265">
        <w:rPr>
          <w:rFonts w:eastAsia="Times New Roman"/>
          <w:b/>
        </w:rPr>
        <w:t>Section 36 of the FAA.</w:t>
      </w:r>
      <w:r>
        <w:rPr>
          <w:rFonts w:eastAsia="Times New Roman"/>
        </w:rPr>
        <w:t xml:space="preserve"> </w:t>
      </w:r>
      <w:r w:rsidRPr="00747265">
        <w:rPr>
          <w:rFonts w:eastAsia="Times New Roman"/>
        </w:rPr>
        <w:t xml:space="preserve">Section 36 of the FAA provides that when sending a circular or other written communication in which a recommendation is made in respect of </w:t>
      </w:r>
      <w:r>
        <w:rPr>
          <w:rFonts w:eastAsia="Times New Roman"/>
        </w:rPr>
        <w:t>specified products (i.e. securities, specified securities-based derivatives contracts or units in a collective investment scheme)</w:t>
      </w:r>
      <w:r w:rsidRPr="00747265">
        <w:rPr>
          <w:rFonts w:eastAsia="Times New Roman"/>
        </w:rPr>
        <w:t xml:space="preserve">, a financial adviser is required to include a concise statement, in equally legible type, of the nature of any interest in, or any interest in the acquisition or disposal of, those </w:t>
      </w:r>
      <w:r>
        <w:rPr>
          <w:rFonts w:eastAsia="Times New Roman"/>
        </w:rPr>
        <w:t>specified products</w:t>
      </w:r>
      <w:r w:rsidRPr="00747265">
        <w:rPr>
          <w:rFonts w:eastAsia="Times New Roman"/>
        </w:rPr>
        <w:t xml:space="preserve"> that it or any associated or connected person has at the date on which the circular or other communication is sent. Such circular or written communication must be retained by the financial adviser for five years.</w:t>
      </w:r>
    </w:p>
    <w:p w:rsidR="005F4344" w:rsidRPr="00747265" w:rsidRDefault="005F4344" w:rsidP="005F4344">
      <w:pPr>
        <w:ind w:left="426" w:right="72"/>
        <w:jc w:val="both"/>
        <w:textAlignment w:val="baseline"/>
        <w:rPr>
          <w:rFonts w:eastAsia="Times New Roman"/>
          <w:b/>
        </w:rPr>
      </w:pPr>
    </w:p>
    <w:p w:rsidR="005F4344" w:rsidRPr="00D65F91" w:rsidRDefault="005F4344" w:rsidP="005F4344">
      <w:pPr>
        <w:ind w:left="426" w:right="72"/>
        <w:jc w:val="both"/>
        <w:textAlignment w:val="baseline"/>
        <w:rPr>
          <w:rFonts w:eastAsia="Times New Roman"/>
          <w:b/>
          <w:i/>
        </w:rPr>
      </w:pPr>
      <w:r w:rsidRPr="00D65F91">
        <w:rPr>
          <w:rFonts w:eastAsia="Times New Roman"/>
          <w:b/>
          <w:i/>
        </w:rPr>
        <w:t xml:space="preserve">As a result of our exemption from compliance with section 36 of the FAA when we deal with you as an accredited investor, we are not under any statutory obligation to include such a statement of interest in </w:t>
      </w:r>
      <w:r>
        <w:rPr>
          <w:rFonts w:eastAsia="Times New Roman"/>
          <w:b/>
          <w:i/>
        </w:rPr>
        <w:t>specified products</w:t>
      </w:r>
      <w:r w:rsidRPr="00D65F91">
        <w:rPr>
          <w:rFonts w:eastAsia="Times New Roman"/>
          <w:b/>
          <w:i/>
        </w:rPr>
        <w:t xml:space="preserve"> in any written recommendation or document that we may send to you. You are therefore not protected by the requirements of section 36 of the FAA if no disclosure is made of any interest that we or any associated or connected person may have in the </w:t>
      </w:r>
      <w:r>
        <w:rPr>
          <w:rFonts w:eastAsia="Times New Roman"/>
          <w:b/>
          <w:i/>
        </w:rPr>
        <w:t>specified products</w:t>
      </w:r>
      <w:r w:rsidRPr="00D65F91">
        <w:rPr>
          <w:rFonts w:eastAsia="Times New Roman"/>
          <w:b/>
          <w:i/>
        </w:rPr>
        <w:t xml:space="preserve"> that we may recommend in such document.</w:t>
      </w:r>
    </w:p>
    <w:p w:rsidR="005F4344" w:rsidRPr="00747265" w:rsidRDefault="005F4344" w:rsidP="005F4344">
      <w:pPr>
        <w:ind w:left="426" w:right="72"/>
        <w:jc w:val="both"/>
        <w:textAlignment w:val="baseline"/>
        <w:rPr>
          <w:rFonts w:eastAsia="Times New Roman"/>
        </w:rPr>
      </w:pPr>
    </w:p>
    <w:p w:rsidR="005F4344" w:rsidRDefault="005F4344" w:rsidP="005F4344">
      <w:pPr>
        <w:numPr>
          <w:ilvl w:val="0"/>
          <w:numId w:val="17"/>
        </w:numPr>
        <w:ind w:right="72"/>
        <w:jc w:val="both"/>
        <w:textAlignment w:val="baseline"/>
        <w:rPr>
          <w:rFonts w:eastAsia="Times New Roman"/>
        </w:rPr>
      </w:pPr>
      <w:r w:rsidRPr="00747265">
        <w:rPr>
          <w:rFonts w:eastAsia="Times New Roman"/>
          <w:b/>
        </w:rPr>
        <w:t>Section</w:t>
      </w:r>
      <w:r>
        <w:rPr>
          <w:rFonts w:eastAsia="Times New Roman"/>
          <w:b/>
        </w:rPr>
        <w:t>s</w:t>
      </w:r>
      <w:r w:rsidRPr="00747265">
        <w:rPr>
          <w:rFonts w:eastAsia="Times New Roman"/>
          <w:b/>
        </w:rPr>
        <w:t xml:space="preserve"> 38</w:t>
      </w:r>
      <w:r>
        <w:rPr>
          <w:rFonts w:eastAsia="Times New Roman"/>
          <w:b/>
        </w:rPr>
        <w:t xml:space="preserve"> and 39</w:t>
      </w:r>
      <w:r w:rsidRPr="00747265">
        <w:rPr>
          <w:rFonts w:eastAsia="Times New Roman"/>
          <w:b/>
        </w:rPr>
        <w:t xml:space="preserve"> of the FAA</w:t>
      </w:r>
      <w:r>
        <w:rPr>
          <w:rFonts w:eastAsia="Times New Roman"/>
          <w:b/>
        </w:rPr>
        <w:t xml:space="preserve">, and </w:t>
      </w:r>
      <w:r w:rsidRPr="002C112B">
        <w:rPr>
          <w:rFonts w:cs="Arial"/>
          <w:b/>
        </w:rPr>
        <w:t xml:space="preserve">MAS Notice on Requirements for the Remuneration Framework for Representatives and Supervisors (“Balanced Scorecard Framework”) and Independent Sales Audit Unit [Notice </w:t>
      </w:r>
      <w:r>
        <w:rPr>
          <w:rFonts w:cs="Arial"/>
          <w:b/>
        </w:rPr>
        <w:t xml:space="preserve">No. </w:t>
      </w:r>
      <w:r w:rsidRPr="002C112B">
        <w:rPr>
          <w:rFonts w:cs="Arial"/>
          <w:b/>
        </w:rPr>
        <w:t xml:space="preserve">FAA-N20] (“BSC Notice”) and MAS Guidelines on the Remuneration Framework for Representatives and Supervisors (“Balanced Scorecard Framework”), Reference Checks and Pre-Transaction Checks [Guideline </w:t>
      </w:r>
      <w:r>
        <w:rPr>
          <w:rFonts w:cs="Arial"/>
          <w:b/>
        </w:rPr>
        <w:t xml:space="preserve">No. </w:t>
      </w:r>
      <w:r w:rsidRPr="002C112B">
        <w:rPr>
          <w:rFonts w:cs="Arial"/>
          <w:b/>
        </w:rPr>
        <w:t>FAA-G14] (“BSC Guidelines”)</w:t>
      </w:r>
      <w:r w:rsidRPr="00747265">
        <w:rPr>
          <w:rFonts w:eastAsia="Times New Roman"/>
          <w:b/>
        </w:rPr>
        <w:t>.</w:t>
      </w:r>
      <w:r>
        <w:rPr>
          <w:rFonts w:eastAsia="Times New Roman"/>
        </w:rPr>
        <w:t xml:space="preserve"> </w:t>
      </w:r>
      <w:r w:rsidRPr="00747265">
        <w:rPr>
          <w:rFonts w:eastAsia="Times New Roman"/>
        </w:rPr>
        <w:t>Section 38 of the FAA provides that a financial adviser must establish and maintain a remuneration framework that contains terms consistent with the requirements prescribed by MAS for the purpose of (a) reviewing and assessing the performance of its representatives and supervisors</w:t>
      </w:r>
      <w:r>
        <w:rPr>
          <w:rFonts w:eastAsia="Times New Roman"/>
        </w:rPr>
        <w:t>;</w:t>
      </w:r>
      <w:r w:rsidRPr="00747265">
        <w:rPr>
          <w:rFonts w:eastAsia="Times New Roman"/>
        </w:rPr>
        <w:t xml:space="preserve"> and (b) determining the remuneration of its representatives and supervisors. The financial adviser must review and assess the performance, and determine and pay the remuneration, of its representatives and supervisors in accordance with such remuneration framework.</w:t>
      </w:r>
    </w:p>
    <w:p w:rsidR="005F4344" w:rsidRPr="00747265" w:rsidRDefault="005F4344" w:rsidP="005F4344">
      <w:pPr>
        <w:ind w:left="426" w:right="72"/>
        <w:jc w:val="both"/>
        <w:textAlignment w:val="baseline"/>
        <w:rPr>
          <w:rFonts w:eastAsia="Times New Roman"/>
          <w:b/>
        </w:rPr>
      </w:pPr>
    </w:p>
    <w:p w:rsidR="005F4344" w:rsidRPr="00747265" w:rsidRDefault="005F4344" w:rsidP="005F4344">
      <w:pPr>
        <w:ind w:left="426" w:right="72"/>
        <w:jc w:val="both"/>
        <w:textAlignment w:val="baseline"/>
        <w:rPr>
          <w:rFonts w:eastAsia="Times New Roman"/>
        </w:rPr>
      </w:pPr>
      <w:r w:rsidRPr="00747265">
        <w:rPr>
          <w:rFonts w:eastAsia="Times New Roman"/>
        </w:rPr>
        <w:t xml:space="preserve">Section 39 of the FAA provides that a financial adviser must have an independent sales audit unit that reports to the board of directors and chief executive officer of the financial adviser or such unit determined by the board of directors or chief executive officer which is independent from all units of the financial adviser which provide financial advisory services. Such independent sales audit unit is required to audit the quality of the financial advisory services </w:t>
      </w:r>
      <w:r w:rsidRPr="00747265">
        <w:rPr>
          <w:rFonts w:eastAsia="Times New Roman"/>
        </w:rPr>
        <w:lastRenderedPageBreak/>
        <w:t xml:space="preserve">provided by the representatives of the financial adviser and to carry out the functions and duties prescribed by MAS, in the </w:t>
      </w:r>
      <w:r>
        <w:rPr>
          <w:rFonts w:eastAsia="Times New Roman"/>
        </w:rPr>
        <w:t>prescribed manner</w:t>
      </w:r>
      <w:r w:rsidRPr="00747265">
        <w:rPr>
          <w:rFonts w:eastAsia="Times New Roman"/>
        </w:rPr>
        <w:t>.</w:t>
      </w:r>
    </w:p>
    <w:p w:rsidR="005F4344" w:rsidRPr="00747265" w:rsidRDefault="005F4344" w:rsidP="005F4344">
      <w:pPr>
        <w:ind w:left="426" w:right="72"/>
        <w:jc w:val="both"/>
        <w:textAlignment w:val="baseline"/>
        <w:rPr>
          <w:rFonts w:eastAsia="Times New Roman"/>
          <w:b/>
        </w:rPr>
      </w:pPr>
    </w:p>
    <w:p w:rsidR="005F4344" w:rsidRDefault="005F4344" w:rsidP="005F4344">
      <w:pPr>
        <w:ind w:left="426" w:right="72"/>
        <w:jc w:val="both"/>
        <w:textAlignment w:val="baseline"/>
      </w:pPr>
      <w:r w:rsidRPr="002C112B">
        <w:rPr>
          <w:rFonts w:cs="Arial"/>
        </w:rPr>
        <w:t xml:space="preserve">The </w:t>
      </w:r>
      <w:r w:rsidRPr="002C112B">
        <w:t>BSC Notice sets out the requirements in relation to the design and operation of th</w:t>
      </w:r>
      <w:r>
        <w:t xml:space="preserve">e balanced scorecard framework </w:t>
      </w:r>
      <w:r w:rsidRPr="002C112B">
        <w:t xml:space="preserve">which </w:t>
      </w:r>
      <w:r>
        <w:t>a financial adviser is</w:t>
      </w:r>
      <w:r w:rsidRPr="002C112B">
        <w:t xml:space="preserve"> required to put in place in their remuneration structures for their representatives and supervisors</w:t>
      </w:r>
      <w:r>
        <w:t xml:space="preserve">, </w:t>
      </w:r>
      <w:r w:rsidRPr="002C112B">
        <w:t>and t</w:t>
      </w:r>
      <w:r>
        <w:t>he independent sales audit unit</w:t>
      </w:r>
      <w:r w:rsidRPr="002C112B">
        <w:t xml:space="preserve">. The BSC Guidelines provide general guidance on some of the requirements of the BSC Notice, such as the post-transaction checks and classification of infractions by the independent sales audit unit. In addition, the BSC Guidelines set out the measures to be applied to all existing and newly recruited representatives who have been assigned a balanced scorecard grade of “E” and all supervisors who have been assigned a balanced scorecard grade of “Unsatisfactory” under the balanced scorecard framework, as well as obtaining and sharing of information on the representatives’ and supervisors’ balanced scorecard grades during reference checks. The BSC Guidelines also set out the MAS’ expectation for </w:t>
      </w:r>
      <w:r>
        <w:t xml:space="preserve">a financial adviser </w:t>
      </w:r>
      <w:r w:rsidRPr="002C112B">
        <w:t xml:space="preserve">to conduct pre-transaction checks to minimise the impact of the balanced scorecard framework on </w:t>
      </w:r>
      <w:r>
        <w:t xml:space="preserve">its </w:t>
      </w:r>
      <w:r w:rsidRPr="002C112B">
        <w:t>representatives and supervisors.</w:t>
      </w:r>
    </w:p>
    <w:p w:rsidR="005F4344" w:rsidRDefault="005F4344" w:rsidP="005F4344">
      <w:pPr>
        <w:ind w:left="426" w:right="72"/>
        <w:jc w:val="both"/>
        <w:textAlignment w:val="baseline"/>
      </w:pPr>
    </w:p>
    <w:p w:rsidR="005F4344" w:rsidRDefault="005F4344" w:rsidP="005F4344">
      <w:pPr>
        <w:ind w:left="426" w:right="72"/>
        <w:jc w:val="both"/>
        <w:textAlignment w:val="baseline"/>
        <w:rPr>
          <w:rFonts w:eastAsia="Times New Roman"/>
          <w:b/>
          <w:i/>
        </w:rPr>
      </w:pPr>
      <w:r w:rsidRPr="00D65F91">
        <w:rPr>
          <w:rFonts w:eastAsia="Times New Roman"/>
          <w:b/>
          <w:i/>
        </w:rPr>
        <w:t xml:space="preserve">As a result of our exemption from compliance with these requirements when we deal with you </w:t>
      </w:r>
      <w:r w:rsidR="008C1F94">
        <w:rPr>
          <w:rFonts w:eastAsia="Times New Roman"/>
          <w:b/>
          <w:i/>
        </w:rPr>
        <w:t xml:space="preserve">(if you are a natural person) </w:t>
      </w:r>
      <w:r w:rsidRPr="00D65F91">
        <w:rPr>
          <w:rFonts w:eastAsia="Times New Roman"/>
          <w:b/>
          <w:i/>
        </w:rPr>
        <w:t>as an accredited investor, we are not under any statutory obligation to either (a) establish or maintain such a remuneration framework, or to review and assess the performance, and determine and pay the remuneration, of our representatives and supervisors in accordance with such a remuneration framework, or (b) to have an independent sales audit unit to audit the quality of the financial advisory services provided by our representatives. You are therefore not protected by the requirements of sections 38 and 39 of the FAA, the BSC Notice and the BSC Guidelines.</w:t>
      </w:r>
    </w:p>
    <w:p w:rsidR="005F4344" w:rsidRPr="00390A91" w:rsidRDefault="005F4344" w:rsidP="005F4344">
      <w:pPr>
        <w:ind w:left="426" w:right="72"/>
        <w:jc w:val="both"/>
        <w:textAlignment w:val="baseline"/>
        <w:rPr>
          <w:rFonts w:eastAsia="Times New Roman"/>
          <w:b/>
        </w:rPr>
      </w:pPr>
    </w:p>
    <w:p w:rsidR="005F4344" w:rsidRPr="00104E67" w:rsidRDefault="005F4344" w:rsidP="005F4344">
      <w:pPr>
        <w:numPr>
          <w:ilvl w:val="0"/>
          <w:numId w:val="17"/>
        </w:numPr>
        <w:ind w:left="426" w:right="72" w:hanging="426"/>
        <w:jc w:val="both"/>
        <w:textAlignment w:val="baseline"/>
        <w:rPr>
          <w:rFonts w:eastAsia="Times New Roman" w:cs="Arial"/>
          <w:b/>
        </w:rPr>
      </w:pPr>
      <w:r w:rsidRPr="00104E67">
        <w:rPr>
          <w:rFonts w:eastAsia="Times New Roman"/>
          <w:b/>
        </w:rPr>
        <w:t>Regulation 18B of the FAR.</w:t>
      </w:r>
      <w:r>
        <w:rPr>
          <w:rFonts w:eastAsia="Times New Roman"/>
        </w:rPr>
        <w:t xml:space="preserve"> </w:t>
      </w:r>
      <w:r w:rsidRPr="00104E67">
        <w:rPr>
          <w:rFonts w:eastAsia="Times New Roman"/>
        </w:rPr>
        <w:t>Regulation 18B of the FAR provides that before selling or marketing certai</w:t>
      </w:r>
      <w:r w:rsidRPr="00A25B83">
        <w:rPr>
          <w:rFonts w:eastAsia="Times New Roman"/>
        </w:rPr>
        <w:t xml:space="preserve">n new products, a financial adviser is required to carry out a due </w:t>
      </w:r>
      <w:r w:rsidRPr="00A25B83">
        <w:rPr>
          <w:rFonts w:eastAsia="Times New Roman" w:cs="Arial"/>
        </w:rPr>
        <w:t>diligence exercise to ascertain whether such new product is suitable for the targeted client. The due diligence exercise must include an assessment of several areas, including (</w:t>
      </w:r>
      <w:proofErr w:type="spellStart"/>
      <w:r w:rsidRPr="00A25B83">
        <w:rPr>
          <w:rFonts w:eastAsia="Times New Roman" w:cs="Arial"/>
        </w:rPr>
        <w:t>i</w:t>
      </w:r>
      <w:proofErr w:type="spellEnd"/>
      <w:r w:rsidRPr="00A25B83">
        <w:rPr>
          <w:rFonts w:eastAsia="Times New Roman" w:cs="Arial"/>
        </w:rPr>
        <w:t>) an assess</w:t>
      </w:r>
      <w:r w:rsidRPr="00C9789C">
        <w:rPr>
          <w:rFonts w:eastAsia="Times New Roman" w:cs="Arial"/>
        </w:rPr>
        <w:t>ment of the type of targeted client the new product is suitable for and whether the new product matches the client base of the financial adviser; (ii) the key risks that a targeted client who invests in the new product potentially faces</w:t>
      </w:r>
      <w:r w:rsidRPr="00AC5E09">
        <w:rPr>
          <w:rFonts w:eastAsia="Times New Roman" w:cs="Arial"/>
        </w:rPr>
        <w:t xml:space="preserve">; and (iii) </w:t>
      </w:r>
      <w:r w:rsidRPr="00AC5E09">
        <w:rPr>
          <w:rFonts w:eastAsia="Times New Roman" w:cs="Arial"/>
          <w:lang w:eastAsia="en-SG"/>
        </w:rPr>
        <w:t>the processes in place for a representative of the financial adviser to determine whether the new product is suitable for the targeted client, taking into consideration the nature, key risks and features of the new product. The financial adviser is prohibited from selling or marketing any new product to any targeted client unless every member of its senior management has, on the basis of the result of the due diligence exercise, personally satisfied himself that the new product is suitable for the targeted client a</w:t>
      </w:r>
      <w:r w:rsidRPr="00104E67">
        <w:rPr>
          <w:rFonts w:eastAsia="Times New Roman" w:cs="Arial"/>
          <w:lang w:eastAsia="en-SG"/>
        </w:rPr>
        <w:t>nd personally approved the sale or marketing of the new product to the targeted client.</w:t>
      </w:r>
      <w:r w:rsidR="00935405">
        <w:rPr>
          <w:rFonts w:eastAsia="Times New Roman" w:cs="Arial"/>
          <w:lang w:eastAsia="en-SG"/>
        </w:rPr>
        <w:t xml:space="preserve"> “Targeted client” excludes accredited investors.</w:t>
      </w:r>
    </w:p>
    <w:p w:rsidR="005F4344" w:rsidRPr="00747265" w:rsidRDefault="005F4344" w:rsidP="005F4344">
      <w:pPr>
        <w:ind w:left="426" w:right="72"/>
        <w:jc w:val="both"/>
        <w:textAlignment w:val="baseline"/>
        <w:rPr>
          <w:rFonts w:eastAsia="Times New Roman"/>
          <w:b/>
        </w:rPr>
      </w:pPr>
    </w:p>
    <w:p w:rsidR="005633CB" w:rsidRPr="00E952AE" w:rsidRDefault="005F4344" w:rsidP="005266C8">
      <w:pPr>
        <w:ind w:left="426" w:right="72"/>
        <w:jc w:val="both"/>
        <w:textAlignment w:val="baseline"/>
      </w:pPr>
      <w:r w:rsidRPr="00D65F91">
        <w:rPr>
          <w:rFonts w:eastAsia="Times New Roman"/>
          <w:b/>
          <w:i/>
        </w:rPr>
        <w:t xml:space="preserve">As a result of our exemption from compliance with </w:t>
      </w:r>
      <w:r>
        <w:rPr>
          <w:rFonts w:eastAsia="Times New Roman"/>
          <w:b/>
          <w:i/>
        </w:rPr>
        <w:t>R</w:t>
      </w:r>
      <w:r w:rsidRPr="00D65F91">
        <w:rPr>
          <w:rFonts w:eastAsia="Times New Roman"/>
          <w:b/>
          <w:i/>
        </w:rPr>
        <w:t xml:space="preserve">egulation 18B of the FAR when we deal with you as an accredited investor, we are not under any statutory obligation to carry out a due </w:t>
      </w:r>
      <w:r w:rsidRPr="00D65F91">
        <w:rPr>
          <w:rFonts w:eastAsia="Times New Roman" w:cs="Arial"/>
          <w:b/>
          <w:i/>
        </w:rPr>
        <w:t xml:space="preserve">diligence exercise to ascertain whether any new product we wish to sell </w:t>
      </w:r>
      <w:r w:rsidRPr="00D65F91">
        <w:rPr>
          <w:rFonts w:eastAsia="Times New Roman" w:cs="Arial"/>
          <w:b/>
          <w:i/>
        </w:rPr>
        <w:lastRenderedPageBreak/>
        <w:t>or market to you is suitable for you</w:t>
      </w:r>
      <w:r w:rsidRPr="00D65F91">
        <w:rPr>
          <w:rFonts w:eastAsia="Times New Roman"/>
          <w:b/>
          <w:i/>
        </w:rPr>
        <w:t xml:space="preserve">. You are therefore not protected by the requirements of </w:t>
      </w:r>
      <w:r>
        <w:rPr>
          <w:rFonts w:eastAsia="Times New Roman"/>
          <w:b/>
          <w:i/>
        </w:rPr>
        <w:t>R</w:t>
      </w:r>
      <w:r w:rsidRPr="00D65F91">
        <w:rPr>
          <w:rFonts w:eastAsia="Times New Roman"/>
          <w:b/>
          <w:i/>
        </w:rPr>
        <w:t>egulation 18B of the FAR.</w:t>
      </w:r>
      <w:bookmarkStart w:id="0" w:name="_GoBack"/>
      <w:bookmarkEnd w:id="0"/>
    </w:p>
    <w:sectPr w:rsidR="005633CB" w:rsidRPr="00E952AE" w:rsidSect="005266C8">
      <w:headerReference w:type="default" r:id="rId9"/>
      <w:footerReference w:type="default" r:id="rId10"/>
      <w:headerReference w:type="first" r:id="rId11"/>
      <w:footerReference w:type="first" r:id="rId12"/>
      <w:pgSz w:w="11906" w:h="16838" w:code="9"/>
      <w:pgMar w:top="2268" w:right="1376" w:bottom="1701" w:left="1503" w:header="964"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411" w:rsidRDefault="00721411" w:rsidP="00B47C88">
      <w:pPr>
        <w:spacing w:line="240" w:lineRule="auto"/>
      </w:pPr>
      <w:r>
        <w:separator/>
      </w:r>
    </w:p>
  </w:endnote>
  <w:endnote w:type="continuationSeparator" w:id="0">
    <w:p w:rsidR="00721411" w:rsidRDefault="00721411" w:rsidP="00B47C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ato Black">
    <w:panose1 w:val="020F0A02020204030203"/>
    <w:charset w:val="00"/>
    <w:family w:val="swiss"/>
    <w:pitch w:val="variable"/>
    <w:sig w:usb0="E10002FF" w:usb1="5000ECFF" w:usb2="00000021" w:usb3="00000000" w:csb0="0000019F" w:csb1="00000000"/>
  </w:font>
  <w:font w:name="Lato Light">
    <w:panose1 w:val="020F0302020204030203"/>
    <w:charset w:val="00"/>
    <w:family w:val="swiss"/>
    <w:pitch w:val="variable"/>
    <w:sig w:usb0="E10002FF" w:usb1="5000ECFF" w:usb2="0000002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1E6" w:rsidRPr="001D5698" w:rsidRDefault="005266C8" w:rsidP="006D31E6">
    <w:pPr>
      <w:pStyle w:val="DMSFooter"/>
    </w:pPr>
    <w:r>
      <w:fldChar w:fldCharType="begin"/>
    </w:r>
    <w:r>
      <w:instrText xml:space="preserve"> DOCPROPERTY  DMSFooter  \* MERGEFORMAT </w:instrText>
    </w:r>
    <w:r>
      <w:fldChar w:fldCharType="separate"/>
    </w:r>
    <w:r w:rsidR="005F4344">
      <w:t xml:space="preserve"> </w:t>
    </w:r>
    <w:r>
      <w:fldChar w:fldCharType="end"/>
    </w:r>
    <w:r w:rsidR="006D31E6">
      <w:t xml:space="preserve">   </w:t>
    </w:r>
    <w:r w:rsidR="00055993">
      <w:rPr>
        <w:noProof/>
        <w:lang w:val="en-US" w:eastAsia="en-US"/>
      </w:rPr>
      <mc:AlternateContent>
        <mc:Choice Requires="wps">
          <w:drawing>
            <wp:anchor distT="0" distB="0" distL="114300" distR="114300" simplePos="0" relativeHeight="251663360" behindDoc="0" locked="0" layoutInCell="1" allowOverlap="1" wp14:anchorId="0EEB10F2" wp14:editId="6AF5BF98">
              <wp:simplePos x="0" y="0"/>
              <wp:positionH relativeFrom="page">
                <wp:posOffset>5715000</wp:posOffset>
              </wp:positionH>
              <wp:positionV relativeFrom="page">
                <wp:posOffset>9880600</wp:posOffset>
              </wp:positionV>
              <wp:extent cx="1221105" cy="468630"/>
              <wp:effectExtent l="0" t="0" r="17145" b="7620"/>
              <wp:wrapTight wrapText="bothSides">
                <wp:wrapPolygon edited="0">
                  <wp:start x="0" y="0"/>
                  <wp:lineTo x="0" y="21073"/>
                  <wp:lineTo x="21566" y="21073"/>
                  <wp:lineTo x="21566" y="0"/>
                  <wp:lineTo x="0" y="0"/>
                </wp:wrapPolygon>
              </wp:wrapTight>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468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5993" w:rsidRPr="00A35969" w:rsidRDefault="00055993" w:rsidP="00055993">
                          <w:pPr>
                            <w:spacing w:line="220" w:lineRule="exact"/>
                            <w:rPr>
                              <w:rFonts w:ascii="Lato Black" w:hAnsi="Lato Black"/>
                              <w:color w:val="00182C"/>
                              <w:spacing w:val="3"/>
                              <w:sz w:val="14"/>
                            </w:rPr>
                          </w:pPr>
                          <w:r>
                            <w:rPr>
                              <w:rFonts w:ascii="Lato Black" w:hAnsi="Lato Black"/>
                              <w:color w:val="00182C"/>
                              <w:spacing w:val="3"/>
                              <w:sz w:val="14"/>
                            </w:rPr>
                            <w:t>c</w:t>
                          </w:r>
                          <w:r w:rsidRPr="00A35969">
                            <w:rPr>
                              <w:rFonts w:ascii="Lato Black" w:hAnsi="Lato Black"/>
                              <w:color w:val="00182C"/>
                              <w:spacing w:val="3"/>
                              <w:sz w:val="14"/>
                            </w:rPr>
                            <w:t>lsa.com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margin-left:450pt;margin-top:778pt;width:96.15pt;height:36.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" filled="f" stroked="f">
              <v:textbox inset="0,0,0,0">
                <w:txbxContent>
                  <w:p w:rsidR="00055993" w:rsidRPr="00A35969" w:rsidRDefault="00055993" w:rsidP="00055993">
                    <w:pPr>
                      <w:spacing w:line="220" w:lineRule="exact"/>
                      <w:rPr>
                        <w:rFonts w:ascii="Lato Black" w:hAnsi="Lato Black"/>
                        <w:color w:val="00182C"/>
                        <w:spacing w:val="3"/>
                        <w:sz w:val="14"/>
                      </w:rPr>
                    </w:pPr>
                    <w:r>
                      <w:rPr>
                        <w:rFonts w:ascii="Lato Black" w:hAnsi="Lato Black"/>
                        <w:color w:val="00182C"/>
                        <w:spacing w:val="3"/>
                        <w:sz w:val="14"/>
                      </w:rPr>
                      <w:t>c</w:t>
                    </w:r>
                    <w:r w:rsidRPr="00A35969">
                      <w:rPr>
                        <w:rFonts w:ascii="Lato Black" w:hAnsi="Lato Black"/>
                        <w:color w:val="00182C"/>
                        <w:spacing w:val="3"/>
                        <w:sz w:val="14"/>
                      </w:rPr>
                      <w:t>lsa.com</w:t>
                    </w:r>
                  </w:p>
                </w:txbxContent>
              </v:textbox>
              <w10:wrap type="tight" anchorx="page" anchory="page"/>
            </v:shape>
          </w:pict>
        </mc:Fallback>
      </mc:AlternateContent>
    </w:r>
    <w:r w:rsidR="00055993">
      <w:rPr>
        <w:noProof/>
        <w:lang w:val="en-US" w:eastAsia="en-US"/>
      </w:rPr>
      <mc:AlternateContent>
        <mc:Choice Requires="wps">
          <w:drawing>
            <wp:anchor distT="0" distB="0" distL="114300" distR="114300" simplePos="0" relativeHeight="251659264" behindDoc="0" locked="0" layoutInCell="1" allowOverlap="1" wp14:anchorId="70C42672" wp14:editId="3003E9E9">
              <wp:simplePos x="0" y="0"/>
              <wp:positionH relativeFrom="page">
                <wp:posOffset>692785</wp:posOffset>
              </wp:positionH>
              <wp:positionV relativeFrom="page">
                <wp:posOffset>9880600</wp:posOffset>
              </wp:positionV>
              <wp:extent cx="1727835" cy="468630"/>
              <wp:effectExtent l="0" t="0" r="5715" b="7620"/>
              <wp:wrapTight wrapText="bothSides">
                <wp:wrapPolygon edited="0">
                  <wp:start x="0" y="0"/>
                  <wp:lineTo x="0" y="21073"/>
                  <wp:lineTo x="21433" y="21073"/>
                  <wp:lineTo x="21433" y="0"/>
                  <wp:lineTo x="0" y="0"/>
                </wp:wrapPolygon>
              </wp:wrapTight>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468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5993" w:rsidRPr="00A35969" w:rsidRDefault="00055993" w:rsidP="00055993">
                          <w:pPr>
                            <w:spacing w:line="220" w:lineRule="exact"/>
                            <w:rPr>
                              <w:rFonts w:ascii="Lato Black" w:hAnsi="Lato Black"/>
                              <w:color w:val="011D3C"/>
                              <w:spacing w:val="3"/>
                              <w:sz w:val="14"/>
                            </w:rPr>
                          </w:pPr>
                          <w:r w:rsidRPr="00A35969">
                            <w:rPr>
                              <w:rFonts w:ascii="Lato Black" w:hAnsi="Lato Black"/>
                              <w:color w:val="011D3C"/>
                              <w:spacing w:val="3"/>
                              <w:sz w:val="14"/>
                            </w:rPr>
                            <w:t>A CITIC Securities Company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7" type="#_x0000_t202" style="position:absolute;margin-left:54.55pt;margin-top:778pt;width:136.05pt;height:36.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" filled="f" stroked="f">
              <v:textbox inset="0,0,0,0">
                <w:txbxContent>
                  <w:p w:rsidR="00055993" w:rsidRPr="00A35969" w:rsidRDefault="00055993" w:rsidP="00055993">
                    <w:pPr>
                      <w:spacing w:line="220" w:lineRule="exact"/>
                      <w:rPr>
                        <w:rFonts w:ascii="Lato Black" w:hAnsi="Lato Black"/>
                        <w:color w:val="011D3C"/>
                        <w:spacing w:val="3"/>
                        <w:sz w:val="14"/>
                      </w:rPr>
                    </w:pPr>
                    <w:r w:rsidRPr="00A35969">
                      <w:rPr>
                        <w:rFonts w:ascii="Lato Black" w:hAnsi="Lato Black"/>
                        <w:color w:val="011D3C"/>
                        <w:spacing w:val="3"/>
                        <w:sz w:val="14"/>
                      </w:rPr>
                      <w:t>A CITIC Securities Company</w:t>
                    </w:r>
                  </w:p>
                </w:txbxContent>
              </v:textbox>
              <w10:wrap type="tight" anchorx="page" anchory="page"/>
            </v:shape>
          </w:pict>
        </mc:Fallback>
      </mc:AlternateContent>
    </w:r>
  </w:p>
  <w:p w:rsidR="006E3F41" w:rsidRDefault="00055993">
    <w:pPr>
      <w:pStyle w:val="Footer"/>
    </w:pPr>
    <w:r>
      <w:rPr>
        <w:noProof/>
        <w:lang w:val="en-US" w:eastAsia="en-US"/>
      </w:rPr>
      <mc:AlternateContent>
        <mc:Choice Requires="wps">
          <w:drawing>
            <wp:anchor distT="0" distB="0" distL="114300" distR="114300" simplePos="0" relativeHeight="251661312" behindDoc="0" locked="0" layoutInCell="1" allowOverlap="1" wp14:anchorId="21316B49" wp14:editId="7FED889C">
              <wp:simplePos x="0" y="0"/>
              <wp:positionH relativeFrom="page">
                <wp:posOffset>2420620</wp:posOffset>
              </wp:positionH>
              <wp:positionV relativeFrom="page">
                <wp:posOffset>9879965</wp:posOffset>
              </wp:positionV>
              <wp:extent cx="3173730" cy="686435"/>
              <wp:effectExtent l="0" t="0" r="7620" b="18415"/>
              <wp:wrapTight wrapText="bothSides">
                <wp:wrapPolygon edited="0">
                  <wp:start x="0" y="0"/>
                  <wp:lineTo x="0" y="21580"/>
                  <wp:lineTo x="21522" y="21580"/>
                  <wp:lineTo x="21522" y="0"/>
                  <wp:lineTo x="0" y="0"/>
                </wp:wrapPolygon>
              </wp:wrapTight>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3730" cy="686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5993" w:rsidRPr="009A791D" w:rsidRDefault="00055993" w:rsidP="00055993">
                          <w:pPr>
                            <w:spacing w:line="220" w:lineRule="exact"/>
                            <w:rPr>
                              <w:rFonts w:ascii="Lato Black" w:eastAsia="PMingLiU" w:hAnsi="Lato Black" w:cs="PMingLiU"/>
                              <w:color w:val="00182C"/>
                              <w:spacing w:val="3"/>
                              <w:sz w:val="14"/>
                            </w:rPr>
                          </w:pPr>
                          <w:r w:rsidRPr="00AE4440">
                            <w:rPr>
                              <w:rFonts w:ascii="Lato Light" w:eastAsia="PMingLiU" w:hAnsi="Lato Light" w:cs="PMingLiU"/>
                              <w:color w:val="00182C"/>
                              <w:spacing w:val="3"/>
                              <w:sz w:val="14"/>
                            </w:rPr>
                            <w:t>80 Raffles Place, No.18-01 UOB Plaza 1, Singapore 048624</w:t>
                          </w:r>
                        </w:p>
                        <w:p w:rsidR="00055993" w:rsidRPr="00A35969" w:rsidRDefault="00055993" w:rsidP="00055993">
                          <w:pPr>
                            <w:spacing w:line="220" w:lineRule="exact"/>
                            <w:rPr>
                              <w:rFonts w:ascii="Lato Light" w:eastAsia="PMingLiU" w:hAnsi="Lato Light" w:cs="PMingLiU"/>
                              <w:color w:val="00182C"/>
                              <w:spacing w:val="3"/>
                              <w:sz w:val="14"/>
                              <w:lang w:eastAsia="zh-TW"/>
                            </w:rPr>
                          </w:pPr>
                          <w:r w:rsidRPr="00AE4440">
                            <w:rPr>
                              <w:rFonts w:ascii="Lato Light" w:eastAsia="PMingLiU" w:hAnsi="Lato Light" w:cs="PMingLiU"/>
                              <w:color w:val="00182C"/>
                              <w:spacing w:val="3"/>
                              <w:sz w:val="14"/>
                            </w:rPr>
                            <w:t xml:space="preserve">Tel: +65 6416 </w:t>
                          </w:r>
                          <w:proofErr w:type="gramStart"/>
                          <w:r w:rsidRPr="00AE4440">
                            <w:rPr>
                              <w:rFonts w:ascii="Lato Light" w:eastAsia="PMingLiU" w:hAnsi="Lato Light" w:cs="PMingLiU"/>
                              <w:color w:val="00182C"/>
                              <w:spacing w:val="3"/>
                              <w:sz w:val="14"/>
                            </w:rPr>
                            <w:t>7888  Fax</w:t>
                          </w:r>
                          <w:proofErr w:type="gramEnd"/>
                          <w:r w:rsidRPr="00AE4440">
                            <w:rPr>
                              <w:rFonts w:ascii="Lato Light" w:eastAsia="PMingLiU" w:hAnsi="Lato Light" w:cs="PMingLiU"/>
                              <w:color w:val="00182C"/>
                              <w:spacing w:val="3"/>
                              <w:sz w:val="14"/>
                            </w:rPr>
                            <w:t>: +65 6533 8922  Telex: RS 43286 CLSECS</w:t>
                          </w:r>
                          <w:r w:rsidRPr="00AE4440">
                            <w:rPr>
                              <w:rFonts w:ascii="Lato Light" w:eastAsia="PMingLiU" w:hAnsi="Lato Light" w:cs="PMingLiU"/>
                              <w:color w:val="00182C"/>
                              <w:spacing w:val="3"/>
                              <w:sz w:val="14"/>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8" type="#_x0000_t202" style="position:absolute;left:0;text-align:left;margin-left:190.6pt;margin-top:777.95pt;width:249.9pt;height:54.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" filled="f" stroked="f">
              <v:textbox inset="0,0,0,0">
                <w:txbxContent>
                  <w:p w:rsidR="00055993" w:rsidRPr="009A791D" w:rsidRDefault="00055993" w:rsidP="00055993">
                    <w:pPr>
                      <w:spacing w:line="220" w:lineRule="exact"/>
                      <w:rPr>
                        <w:rFonts w:ascii="Lato Black" w:eastAsia="PMingLiU" w:hAnsi="Lato Black" w:cs="PMingLiU"/>
                        <w:color w:val="00182C"/>
                        <w:spacing w:val="3"/>
                        <w:sz w:val="14"/>
                      </w:rPr>
                    </w:pPr>
                    <w:r w:rsidRPr="00AE4440">
                      <w:rPr>
                        <w:rFonts w:ascii="Lato Light" w:eastAsia="PMingLiU" w:hAnsi="Lato Light" w:cs="PMingLiU"/>
                        <w:color w:val="00182C"/>
                        <w:spacing w:val="3"/>
                        <w:sz w:val="14"/>
                      </w:rPr>
                      <w:t>80 Raffles Place, No.18-01 UOB Plaza 1, Singapore 048624</w:t>
                    </w:r>
                  </w:p>
                  <w:p w:rsidR="00055993" w:rsidRPr="00A35969" w:rsidRDefault="00055993" w:rsidP="00055993">
                    <w:pPr>
                      <w:spacing w:line="220" w:lineRule="exact"/>
                      <w:rPr>
                        <w:rFonts w:ascii="Lato Light" w:eastAsia="PMingLiU" w:hAnsi="Lato Light" w:cs="PMingLiU"/>
                        <w:color w:val="00182C"/>
                        <w:spacing w:val="3"/>
                        <w:sz w:val="14"/>
                        <w:lang w:eastAsia="zh-TW"/>
                      </w:rPr>
                    </w:pPr>
                    <w:r w:rsidRPr="00AE4440">
                      <w:rPr>
                        <w:rFonts w:ascii="Lato Light" w:eastAsia="PMingLiU" w:hAnsi="Lato Light" w:cs="PMingLiU"/>
                        <w:color w:val="00182C"/>
                        <w:spacing w:val="3"/>
                        <w:sz w:val="14"/>
                      </w:rPr>
                      <w:t xml:space="preserve">Tel: +65 6416 </w:t>
                    </w:r>
                    <w:proofErr w:type="gramStart"/>
                    <w:r w:rsidRPr="00AE4440">
                      <w:rPr>
                        <w:rFonts w:ascii="Lato Light" w:eastAsia="PMingLiU" w:hAnsi="Lato Light" w:cs="PMingLiU"/>
                        <w:color w:val="00182C"/>
                        <w:spacing w:val="3"/>
                        <w:sz w:val="14"/>
                      </w:rPr>
                      <w:t>7888  Fax</w:t>
                    </w:r>
                    <w:proofErr w:type="gramEnd"/>
                    <w:r w:rsidRPr="00AE4440">
                      <w:rPr>
                        <w:rFonts w:ascii="Lato Light" w:eastAsia="PMingLiU" w:hAnsi="Lato Light" w:cs="PMingLiU"/>
                        <w:color w:val="00182C"/>
                        <w:spacing w:val="3"/>
                        <w:sz w:val="14"/>
                      </w:rPr>
                      <w:t>: +65 6533 8922  Telex: RS 43286 CLSECS</w:t>
                    </w:r>
                    <w:r w:rsidRPr="00AE4440">
                      <w:rPr>
                        <w:rFonts w:ascii="Lato Light" w:eastAsia="PMingLiU" w:hAnsi="Lato Light" w:cs="PMingLiU"/>
                        <w:color w:val="00182C"/>
                        <w:spacing w:val="3"/>
                        <w:sz w:val="14"/>
                      </w:rPr>
                      <w:tab/>
                    </w:r>
                  </w:p>
                </w:txbxContent>
              </v:textbox>
              <w10:wrap type="tight" anchorx="page" anchory="page"/>
            </v:shape>
          </w:pict>
        </mc:Fallback>
      </mc:AlternateContent>
    </w:r>
    <w:r w:rsidR="006E3F41">
      <w:fldChar w:fldCharType="begin"/>
    </w:r>
    <w:r w:rsidR="006E3F41">
      <w:instrText xml:space="preserve"> PAGE   \* MERGEFORMAT </w:instrText>
    </w:r>
    <w:r w:rsidR="006E3F41">
      <w:fldChar w:fldCharType="separate"/>
    </w:r>
    <w:r w:rsidR="005266C8">
      <w:rPr>
        <w:noProof/>
      </w:rPr>
      <w:t>17</w:t>
    </w:r>
    <w:r w:rsidR="006E3F41">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993" w:rsidRDefault="00055993" w:rsidP="00055993">
    <w:pPr>
      <w:pStyle w:val="Footer"/>
      <w:tabs>
        <w:tab w:val="left" w:pos="3180"/>
      </w:tabs>
      <w:jc w:val="left"/>
    </w:pPr>
    <w:r>
      <w:rPr>
        <w:noProof/>
        <w:lang w:val="en-US" w:eastAsia="en-US"/>
      </w:rPr>
      <mc:AlternateContent>
        <mc:Choice Requires="wps">
          <w:drawing>
            <wp:anchor distT="0" distB="0" distL="114300" distR="114300" simplePos="0" relativeHeight="251665408" behindDoc="0" locked="0" layoutInCell="1" allowOverlap="1" wp14:anchorId="47B361A9" wp14:editId="47B65C72">
              <wp:simplePos x="0" y="0"/>
              <wp:positionH relativeFrom="page">
                <wp:posOffset>845185</wp:posOffset>
              </wp:positionH>
              <wp:positionV relativeFrom="page">
                <wp:posOffset>10033000</wp:posOffset>
              </wp:positionV>
              <wp:extent cx="1727835" cy="468630"/>
              <wp:effectExtent l="0" t="0" r="5715" b="7620"/>
              <wp:wrapTight wrapText="bothSides">
                <wp:wrapPolygon edited="0">
                  <wp:start x="0" y="0"/>
                  <wp:lineTo x="0" y="21073"/>
                  <wp:lineTo x="21433" y="21073"/>
                  <wp:lineTo x="21433" y="0"/>
                  <wp:lineTo x="0" y="0"/>
                </wp:wrapPolygon>
              </wp:wrapTight>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468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5993" w:rsidRPr="00A35969" w:rsidRDefault="00055993" w:rsidP="00055993">
                          <w:pPr>
                            <w:spacing w:line="220" w:lineRule="exact"/>
                            <w:rPr>
                              <w:rFonts w:ascii="Lato Black" w:hAnsi="Lato Black"/>
                              <w:color w:val="011D3C"/>
                              <w:spacing w:val="3"/>
                              <w:sz w:val="14"/>
                            </w:rPr>
                          </w:pPr>
                          <w:r w:rsidRPr="00A35969">
                            <w:rPr>
                              <w:rFonts w:ascii="Lato Black" w:hAnsi="Lato Black"/>
                              <w:color w:val="011D3C"/>
                              <w:spacing w:val="3"/>
                              <w:sz w:val="14"/>
                            </w:rPr>
                            <w:t>A CITIC Securities Company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66.55pt;margin-top:790pt;width:136.05pt;height:36.9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" filled="f" stroked="f">
              <v:textbox inset="0,0,0,0">
                <w:txbxContent>
                  <w:p w:rsidR="00055993" w:rsidRPr="00A35969" w:rsidRDefault="00055993" w:rsidP="00055993">
                    <w:pPr>
                      <w:spacing w:line="220" w:lineRule="exact"/>
                      <w:rPr>
                        <w:rFonts w:ascii="Lato Black" w:hAnsi="Lato Black"/>
                        <w:color w:val="011D3C"/>
                        <w:spacing w:val="3"/>
                        <w:sz w:val="14"/>
                      </w:rPr>
                    </w:pPr>
                    <w:r w:rsidRPr="00A35969">
                      <w:rPr>
                        <w:rFonts w:ascii="Lato Black" w:hAnsi="Lato Black"/>
                        <w:color w:val="011D3C"/>
                        <w:spacing w:val="3"/>
                        <w:sz w:val="14"/>
                      </w:rPr>
                      <w:t>A CITIC Securities Company</w:t>
                    </w:r>
                  </w:p>
                </w:txbxContent>
              </v:textbox>
              <w10:wrap type="tight" anchorx="page" anchory="page"/>
            </v:shape>
          </w:pict>
        </mc:Fallback>
      </mc:AlternateContent>
    </w:r>
    <w:r>
      <w:tab/>
    </w:r>
    <w:r>
      <w:tab/>
    </w:r>
    <w:r>
      <w:rPr>
        <w:noProof/>
        <w:lang w:val="en-US" w:eastAsia="en-US"/>
      </w:rPr>
      <mc:AlternateContent>
        <mc:Choice Requires="wps">
          <w:drawing>
            <wp:anchor distT="0" distB="0" distL="114300" distR="114300" simplePos="0" relativeHeight="251669504" behindDoc="0" locked="0" layoutInCell="1" allowOverlap="1" wp14:anchorId="3A056944" wp14:editId="7CA42619">
              <wp:simplePos x="0" y="0"/>
              <wp:positionH relativeFrom="page">
                <wp:posOffset>5867400</wp:posOffset>
              </wp:positionH>
              <wp:positionV relativeFrom="page">
                <wp:posOffset>10033000</wp:posOffset>
              </wp:positionV>
              <wp:extent cx="1221105" cy="468630"/>
              <wp:effectExtent l="0" t="0" r="17145" b="7620"/>
              <wp:wrapTight wrapText="bothSides">
                <wp:wrapPolygon edited="0">
                  <wp:start x="0" y="0"/>
                  <wp:lineTo x="0" y="21073"/>
                  <wp:lineTo x="21566" y="21073"/>
                  <wp:lineTo x="21566" y="0"/>
                  <wp:lineTo x="0" y="0"/>
                </wp:wrapPolygon>
              </wp:wrapTight>
              <wp:docPr id="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468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5993" w:rsidRPr="00A35969" w:rsidRDefault="00055993" w:rsidP="00055993">
                          <w:pPr>
                            <w:spacing w:line="220" w:lineRule="exact"/>
                            <w:rPr>
                              <w:rFonts w:ascii="Lato Black" w:hAnsi="Lato Black"/>
                              <w:color w:val="00182C"/>
                              <w:spacing w:val="3"/>
                              <w:sz w:val="14"/>
                            </w:rPr>
                          </w:pPr>
                          <w:r>
                            <w:rPr>
                              <w:rFonts w:ascii="Lato Black" w:hAnsi="Lato Black"/>
                              <w:color w:val="00182C"/>
                              <w:spacing w:val="3"/>
                              <w:sz w:val="14"/>
                            </w:rPr>
                            <w:t>c</w:t>
                          </w:r>
                          <w:r w:rsidRPr="00A35969">
                            <w:rPr>
                              <w:rFonts w:ascii="Lato Black" w:hAnsi="Lato Black"/>
                              <w:color w:val="00182C"/>
                              <w:spacing w:val="3"/>
                              <w:sz w:val="14"/>
                            </w:rPr>
                            <w:t>lsa.com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462pt;margin-top:790pt;width:96.15pt;height:36.9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" filled="f" stroked="f">
              <v:textbox inset="0,0,0,0">
                <w:txbxContent>
                  <w:p w:rsidR="00055993" w:rsidRPr="00A35969" w:rsidRDefault="00055993" w:rsidP="00055993">
                    <w:pPr>
                      <w:spacing w:line="220" w:lineRule="exact"/>
                      <w:rPr>
                        <w:rFonts w:ascii="Lato Black" w:hAnsi="Lato Black"/>
                        <w:color w:val="00182C"/>
                        <w:spacing w:val="3"/>
                        <w:sz w:val="14"/>
                      </w:rPr>
                    </w:pPr>
                    <w:r>
                      <w:rPr>
                        <w:rFonts w:ascii="Lato Black" w:hAnsi="Lato Black"/>
                        <w:color w:val="00182C"/>
                        <w:spacing w:val="3"/>
                        <w:sz w:val="14"/>
                      </w:rPr>
                      <w:t>c</w:t>
                    </w:r>
                    <w:r w:rsidRPr="00A35969">
                      <w:rPr>
                        <w:rFonts w:ascii="Lato Black" w:hAnsi="Lato Black"/>
                        <w:color w:val="00182C"/>
                        <w:spacing w:val="3"/>
                        <w:sz w:val="14"/>
                      </w:rPr>
                      <w:t>lsa.com</w:t>
                    </w:r>
                  </w:p>
                </w:txbxContent>
              </v:textbox>
              <w10:wrap type="tight" anchorx="page" anchory="page"/>
            </v:shape>
          </w:pict>
        </mc:Fallback>
      </mc:AlternateContent>
    </w:r>
    <w:r>
      <w:rPr>
        <w:noProof/>
        <w:lang w:val="en-US" w:eastAsia="en-US"/>
      </w:rPr>
      <mc:AlternateContent>
        <mc:Choice Requires="wps">
          <w:drawing>
            <wp:anchor distT="0" distB="0" distL="114300" distR="114300" simplePos="0" relativeHeight="251667456" behindDoc="0" locked="0" layoutInCell="1" allowOverlap="1" wp14:anchorId="40568977" wp14:editId="52E461C9">
              <wp:simplePos x="0" y="0"/>
              <wp:positionH relativeFrom="page">
                <wp:posOffset>2573020</wp:posOffset>
              </wp:positionH>
              <wp:positionV relativeFrom="page">
                <wp:posOffset>10032365</wp:posOffset>
              </wp:positionV>
              <wp:extent cx="3173730" cy="686435"/>
              <wp:effectExtent l="0" t="0" r="7620" b="18415"/>
              <wp:wrapTight wrapText="bothSides">
                <wp:wrapPolygon edited="0">
                  <wp:start x="0" y="0"/>
                  <wp:lineTo x="0" y="21580"/>
                  <wp:lineTo x="21522" y="21580"/>
                  <wp:lineTo x="21522" y="0"/>
                  <wp:lineTo x="0" y="0"/>
                </wp:wrapPolygon>
              </wp:wrapTight>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3730" cy="686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5993" w:rsidRPr="009A791D" w:rsidRDefault="00055993" w:rsidP="00055993">
                          <w:pPr>
                            <w:spacing w:line="220" w:lineRule="exact"/>
                            <w:rPr>
                              <w:rFonts w:ascii="Lato Black" w:eastAsia="PMingLiU" w:hAnsi="Lato Black" w:cs="PMingLiU"/>
                              <w:color w:val="00182C"/>
                              <w:spacing w:val="3"/>
                              <w:sz w:val="14"/>
                            </w:rPr>
                          </w:pPr>
                          <w:r w:rsidRPr="00AE4440">
                            <w:rPr>
                              <w:rFonts w:ascii="Lato Light" w:eastAsia="PMingLiU" w:hAnsi="Lato Light" w:cs="PMingLiU"/>
                              <w:color w:val="00182C"/>
                              <w:spacing w:val="3"/>
                              <w:sz w:val="14"/>
                            </w:rPr>
                            <w:t>80 Raffles Place, No.18-01 UOB Plaza 1, Singapore 048624</w:t>
                          </w:r>
                        </w:p>
                        <w:p w:rsidR="00055993" w:rsidRPr="00A35969" w:rsidRDefault="00055993" w:rsidP="00055993">
                          <w:pPr>
                            <w:spacing w:line="220" w:lineRule="exact"/>
                            <w:rPr>
                              <w:rFonts w:ascii="Lato Light" w:eastAsia="PMingLiU" w:hAnsi="Lato Light" w:cs="PMingLiU"/>
                              <w:color w:val="00182C"/>
                              <w:spacing w:val="3"/>
                              <w:sz w:val="14"/>
                              <w:lang w:eastAsia="zh-TW"/>
                            </w:rPr>
                          </w:pPr>
                          <w:r w:rsidRPr="00AE4440">
                            <w:rPr>
                              <w:rFonts w:ascii="Lato Light" w:eastAsia="PMingLiU" w:hAnsi="Lato Light" w:cs="PMingLiU"/>
                              <w:color w:val="00182C"/>
                              <w:spacing w:val="3"/>
                              <w:sz w:val="14"/>
                            </w:rPr>
                            <w:t xml:space="preserve">Tel: +65 6416 </w:t>
                          </w:r>
                          <w:proofErr w:type="gramStart"/>
                          <w:r w:rsidRPr="00AE4440">
                            <w:rPr>
                              <w:rFonts w:ascii="Lato Light" w:eastAsia="PMingLiU" w:hAnsi="Lato Light" w:cs="PMingLiU"/>
                              <w:color w:val="00182C"/>
                              <w:spacing w:val="3"/>
                              <w:sz w:val="14"/>
                            </w:rPr>
                            <w:t>7888  Fax</w:t>
                          </w:r>
                          <w:proofErr w:type="gramEnd"/>
                          <w:r w:rsidRPr="00AE4440">
                            <w:rPr>
                              <w:rFonts w:ascii="Lato Light" w:eastAsia="PMingLiU" w:hAnsi="Lato Light" w:cs="PMingLiU"/>
                              <w:color w:val="00182C"/>
                              <w:spacing w:val="3"/>
                              <w:sz w:val="14"/>
                            </w:rPr>
                            <w:t>: +65 6533 8922  Telex: RS 43286 CLSECS</w:t>
                          </w:r>
                          <w:r w:rsidRPr="00AE4440">
                            <w:rPr>
                              <w:rFonts w:ascii="Lato Light" w:eastAsia="PMingLiU" w:hAnsi="Lato Light" w:cs="PMingLiU"/>
                              <w:color w:val="00182C"/>
                              <w:spacing w:val="3"/>
                              <w:sz w:val="14"/>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202.6pt;margin-top:789.95pt;width:249.9pt;height:54.0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N2rsQIAALE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" filled="f" stroked="f">
              <v:textbox inset="0,0,0,0">
                <w:txbxContent>
                  <w:p w:rsidR="00055993" w:rsidRPr="009A791D" w:rsidRDefault="00055993" w:rsidP="00055993">
                    <w:pPr>
                      <w:spacing w:line="220" w:lineRule="exact"/>
                      <w:rPr>
                        <w:rFonts w:ascii="Lato Black" w:eastAsia="PMingLiU" w:hAnsi="Lato Black" w:cs="PMingLiU"/>
                        <w:color w:val="00182C"/>
                        <w:spacing w:val="3"/>
                        <w:sz w:val="14"/>
                      </w:rPr>
                    </w:pPr>
                    <w:r w:rsidRPr="00AE4440">
                      <w:rPr>
                        <w:rFonts w:ascii="Lato Light" w:eastAsia="PMingLiU" w:hAnsi="Lato Light" w:cs="PMingLiU"/>
                        <w:color w:val="00182C"/>
                        <w:spacing w:val="3"/>
                        <w:sz w:val="14"/>
                      </w:rPr>
                      <w:t>80 Raffles Place, No.18-01 UOB Plaza 1, Singapore 048624</w:t>
                    </w:r>
                  </w:p>
                  <w:p w:rsidR="00055993" w:rsidRPr="00A35969" w:rsidRDefault="00055993" w:rsidP="00055993">
                    <w:pPr>
                      <w:spacing w:line="220" w:lineRule="exact"/>
                      <w:rPr>
                        <w:rFonts w:ascii="Lato Light" w:eastAsia="PMingLiU" w:hAnsi="Lato Light" w:cs="PMingLiU"/>
                        <w:color w:val="00182C"/>
                        <w:spacing w:val="3"/>
                        <w:sz w:val="14"/>
                        <w:lang w:eastAsia="zh-TW"/>
                      </w:rPr>
                    </w:pPr>
                    <w:r w:rsidRPr="00AE4440">
                      <w:rPr>
                        <w:rFonts w:ascii="Lato Light" w:eastAsia="PMingLiU" w:hAnsi="Lato Light" w:cs="PMingLiU"/>
                        <w:color w:val="00182C"/>
                        <w:spacing w:val="3"/>
                        <w:sz w:val="14"/>
                      </w:rPr>
                      <w:t xml:space="preserve">Tel: +65 6416 </w:t>
                    </w:r>
                    <w:proofErr w:type="gramStart"/>
                    <w:r w:rsidRPr="00AE4440">
                      <w:rPr>
                        <w:rFonts w:ascii="Lato Light" w:eastAsia="PMingLiU" w:hAnsi="Lato Light" w:cs="PMingLiU"/>
                        <w:color w:val="00182C"/>
                        <w:spacing w:val="3"/>
                        <w:sz w:val="14"/>
                      </w:rPr>
                      <w:t>7888  Fax</w:t>
                    </w:r>
                    <w:proofErr w:type="gramEnd"/>
                    <w:r w:rsidRPr="00AE4440">
                      <w:rPr>
                        <w:rFonts w:ascii="Lato Light" w:eastAsia="PMingLiU" w:hAnsi="Lato Light" w:cs="PMingLiU"/>
                        <w:color w:val="00182C"/>
                        <w:spacing w:val="3"/>
                        <w:sz w:val="14"/>
                      </w:rPr>
                      <w:t>: +65 6533 8922  Telex: RS 43286 CLSECS</w:t>
                    </w:r>
                    <w:r w:rsidRPr="00AE4440">
                      <w:rPr>
                        <w:rFonts w:ascii="Lato Light" w:eastAsia="PMingLiU" w:hAnsi="Lato Light" w:cs="PMingLiU"/>
                        <w:color w:val="00182C"/>
                        <w:spacing w:val="3"/>
                        <w:sz w:val="14"/>
                      </w:rPr>
                      <w:tab/>
                    </w:r>
                  </w:p>
                </w:txbxContent>
              </v:textbox>
              <w10:wrap type="tight"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411" w:rsidRDefault="00721411" w:rsidP="00B47C88">
      <w:pPr>
        <w:spacing w:line="240" w:lineRule="auto"/>
      </w:pPr>
      <w:r>
        <w:separator/>
      </w:r>
    </w:p>
  </w:footnote>
  <w:footnote w:type="continuationSeparator" w:id="0">
    <w:p w:rsidR="00721411" w:rsidRDefault="00721411" w:rsidP="00B47C88">
      <w:pPr>
        <w:spacing w:line="240" w:lineRule="auto"/>
      </w:pPr>
      <w:r>
        <w:continuationSeparator/>
      </w:r>
    </w:p>
  </w:footnote>
  <w:footnote w:id="1">
    <w:p w:rsidR="00A323C8" w:rsidRPr="009B3841" w:rsidRDefault="00A323C8" w:rsidP="00A323C8">
      <w:pPr>
        <w:pStyle w:val="FootnoteText"/>
      </w:pPr>
      <w:r w:rsidRPr="009B3841">
        <w:rPr>
          <w:rStyle w:val="FootnoteReference"/>
        </w:rPr>
        <w:footnoteRef/>
      </w:r>
      <w:r w:rsidRPr="009B3841">
        <w:t xml:space="preserve"> Regulation 16(1)(b)</w:t>
      </w:r>
    </w:p>
  </w:footnote>
  <w:footnote w:id="2">
    <w:p w:rsidR="00A323C8" w:rsidRPr="009B3841" w:rsidRDefault="00A323C8" w:rsidP="00A323C8">
      <w:pPr>
        <w:pStyle w:val="FootnoteText"/>
      </w:pPr>
      <w:r w:rsidRPr="009B3841">
        <w:rPr>
          <w:rStyle w:val="FootnoteReference"/>
        </w:rPr>
        <w:footnoteRef/>
      </w:r>
      <w:r w:rsidRPr="009B3841">
        <w:t xml:space="preserve"> Regulation 16(1)(b)</w:t>
      </w:r>
    </w:p>
  </w:footnote>
  <w:footnote w:id="3">
    <w:p w:rsidR="00A323C8" w:rsidRPr="009B3841" w:rsidRDefault="00A323C8" w:rsidP="00A323C8">
      <w:pPr>
        <w:pStyle w:val="FootnoteText"/>
      </w:pPr>
      <w:r w:rsidRPr="009B3841">
        <w:rPr>
          <w:rStyle w:val="FootnoteReference"/>
        </w:rPr>
        <w:footnoteRef/>
      </w:r>
      <w:r w:rsidRPr="009B3841">
        <w:t xml:space="preserve"> Regulation 16(3)</w:t>
      </w:r>
    </w:p>
  </w:footnote>
  <w:footnote w:id="4">
    <w:p w:rsidR="00A323C8" w:rsidRPr="009B3841" w:rsidRDefault="00A323C8" w:rsidP="00A323C8">
      <w:pPr>
        <w:pStyle w:val="FootnoteText"/>
      </w:pPr>
      <w:r w:rsidRPr="009B3841">
        <w:rPr>
          <w:rStyle w:val="FootnoteReference"/>
        </w:rPr>
        <w:footnoteRef/>
      </w:r>
      <w:r w:rsidRPr="009B3841">
        <w:t xml:space="preserve"> Regulation 16(1)(</w:t>
      </w:r>
      <w:proofErr w:type="spellStart"/>
      <w:r w:rsidRPr="009B3841">
        <w:t>ba</w:t>
      </w:r>
      <w:proofErr w:type="spellEnd"/>
      <w:r w:rsidRPr="009B3841">
        <w:t>)</w:t>
      </w:r>
    </w:p>
  </w:footnote>
  <w:footnote w:id="5">
    <w:p w:rsidR="00A323C8" w:rsidRPr="009B3841" w:rsidRDefault="00A323C8" w:rsidP="00A323C8">
      <w:pPr>
        <w:pStyle w:val="FootnoteText"/>
      </w:pPr>
      <w:r w:rsidRPr="009B3841">
        <w:rPr>
          <w:rStyle w:val="FootnoteReference"/>
        </w:rPr>
        <w:footnoteRef/>
      </w:r>
      <w:r w:rsidRPr="009B3841">
        <w:t xml:space="preserve"> Regulation 17(2)</w:t>
      </w:r>
    </w:p>
  </w:footnote>
  <w:footnote w:id="6">
    <w:p w:rsidR="00A323C8" w:rsidRPr="009B3841" w:rsidRDefault="00A323C8" w:rsidP="00A323C8">
      <w:pPr>
        <w:pStyle w:val="FootnoteText"/>
      </w:pPr>
      <w:r w:rsidRPr="009B3841">
        <w:rPr>
          <w:rStyle w:val="FootnoteReference"/>
        </w:rPr>
        <w:footnoteRef/>
      </w:r>
      <w:r w:rsidRPr="009B3841">
        <w:t xml:space="preserve"> Regulations 18A and 27A</w:t>
      </w:r>
    </w:p>
  </w:footnote>
  <w:footnote w:id="7">
    <w:p w:rsidR="00A323C8" w:rsidRPr="009B3841" w:rsidRDefault="00A323C8" w:rsidP="00A323C8">
      <w:pPr>
        <w:pStyle w:val="FootnoteText"/>
      </w:pPr>
      <w:r w:rsidRPr="009B3841">
        <w:rPr>
          <w:rStyle w:val="FootnoteReference"/>
        </w:rPr>
        <w:footnoteRef/>
      </w:r>
      <w:r w:rsidRPr="009B3841">
        <w:t xml:space="preserve"> Regulation 19</w:t>
      </w:r>
    </w:p>
  </w:footnote>
  <w:footnote w:id="8">
    <w:p w:rsidR="00A323C8" w:rsidRPr="009B3841" w:rsidRDefault="00A323C8" w:rsidP="00A323C8">
      <w:pPr>
        <w:pStyle w:val="FootnoteText"/>
      </w:pPr>
      <w:r w:rsidRPr="009B3841">
        <w:rPr>
          <w:rStyle w:val="FootnoteReference"/>
        </w:rPr>
        <w:footnoteRef/>
      </w:r>
      <w:r w:rsidRPr="009B3841">
        <w:t xml:space="preserve"> Regulations 20A and 34A</w:t>
      </w:r>
    </w:p>
  </w:footnote>
  <w:footnote w:id="9">
    <w:p w:rsidR="00A323C8" w:rsidRPr="009B3841" w:rsidRDefault="00A323C8" w:rsidP="00A323C8">
      <w:pPr>
        <w:pStyle w:val="FootnoteText"/>
      </w:pPr>
      <w:r w:rsidRPr="009B3841">
        <w:rPr>
          <w:rStyle w:val="FootnoteReference"/>
        </w:rPr>
        <w:footnoteRef/>
      </w:r>
      <w:r w:rsidRPr="009B3841">
        <w:t xml:space="preserve"> Regulations 21(2) and 35(2)</w:t>
      </w:r>
    </w:p>
  </w:footnote>
  <w:footnote w:id="10">
    <w:p w:rsidR="00A323C8" w:rsidRPr="009B3841" w:rsidRDefault="00A323C8" w:rsidP="00A323C8">
      <w:pPr>
        <w:pStyle w:val="FootnoteText"/>
      </w:pPr>
      <w:r w:rsidRPr="009B3841">
        <w:rPr>
          <w:rStyle w:val="FootnoteReference"/>
        </w:rPr>
        <w:footnoteRef/>
      </w:r>
      <w:r w:rsidRPr="009B3841">
        <w:t xml:space="preserve"> Regulation 26(1)(a)</w:t>
      </w:r>
    </w:p>
  </w:footnote>
  <w:footnote w:id="11">
    <w:p w:rsidR="00A323C8" w:rsidRPr="009B3841" w:rsidRDefault="00A323C8" w:rsidP="00A323C8">
      <w:pPr>
        <w:pStyle w:val="FootnoteText"/>
      </w:pPr>
      <w:r w:rsidRPr="009B3841">
        <w:rPr>
          <w:rStyle w:val="FootnoteReference"/>
        </w:rPr>
        <w:footnoteRef/>
      </w:r>
      <w:r w:rsidRPr="009B3841">
        <w:t xml:space="preserve"> Regulation 34(2)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44" w:rsidRPr="00055993" w:rsidRDefault="00055993" w:rsidP="00055993">
    <w:pPr>
      <w:pStyle w:val="Header"/>
    </w:pPr>
    <w:r>
      <w:rPr>
        <w:noProof/>
        <w:lang w:val="en-US" w:eastAsia="en-US"/>
      </w:rPr>
      <w:drawing>
        <wp:inline distT="0" distB="0" distL="0" distR="0" wp14:anchorId="092C2BAB" wp14:editId="7E9400AE">
          <wp:extent cx="594000" cy="2700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15mmH.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94000" cy="2700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993" w:rsidRDefault="00055993">
    <w:pPr>
      <w:pStyle w:val="Header"/>
    </w:pPr>
    <w:r>
      <w:rPr>
        <w:noProof/>
        <w:lang w:val="en-US" w:eastAsia="en-US"/>
      </w:rPr>
      <w:drawing>
        <wp:inline distT="0" distB="0" distL="0" distR="0" wp14:anchorId="569ED89C" wp14:editId="26E8AFF7">
          <wp:extent cx="1191600" cy="540000"/>
          <wp:effectExtent l="0" t="0" r="889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15mmH.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91600" cy="5400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F2E2F"/>
    <w:multiLevelType w:val="multilevel"/>
    <w:tmpl w:val="7BDADB82"/>
    <w:styleLink w:val="Style-Letter"/>
    <w:lvl w:ilvl="0">
      <w:start w:val="1"/>
      <w:numFmt w:val="decimal"/>
      <w:pStyle w:val="LetterH1"/>
      <w:lvlText w:val="%1."/>
      <w:lvlJc w:val="left"/>
      <w:pPr>
        <w:tabs>
          <w:tab w:val="num" w:pos="720"/>
        </w:tabs>
        <w:ind w:left="720" w:hanging="720"/>
      </w:pPr>
      <w:rPr>
        <w:rFonts w:ascii="Arial" w:eastAsia="SimSun" w:hAnsi="Arial"/>
        <w:spacing w:val="0"/>
        <w:w w:val="100"/>
        <w:position w:val="0"/>
        <w:sz w:val="20"/>
        <w:szCs w:val="20"/>
      </w:rPr>
    </w:lvl>
    <w:lvl w:ilvl="1">
      <w:start w:val="1"/>
      <w:numFmt w:val="lowerLetter"/>
      <w:pStyle w:val="LetterH2"/>
      <w:lvlText w:val="(%2)"/>
      <w:lvlJc w:val="left"/>
      <w:pPr>
        <w:tabs>
          <w:tab w:val="num" w:pos="1440"/>
        </w:tabs>
        <w:ind w:left="1440" w:hanging="720"/>
      </w:pPr>
      <w:rPr>
        <w:rFonts w:ascii="Arial" w:eastAsia="SimSun" w:hAnsi="Arial" w:hint="default"/>
        <w:b w:val="0"/>
        <w:i w:val="0"/>
        <w:spacing w:val="0"/>
        <w:w w:val="100"/>
        <w:position w:val="0"/>
        <w:sz w:val="20"/>
        <w:szCs w:val="20"/>
      </w:rPr>
    </w:lvl>
    <w:lvl w:ilvl="2">
      <w:start w:val="1"/>
      <w:numFmt w:val="lowerRoman"/>
      <w:pStyle w:val="LetterH3"/>
      <w:lvlText w:val="(%3)"/>
      <w:lvlJc w:val="left"/>
      <w:pPr>
        <w:tabs>
          <w:tab w:val="num" w:pos="2160"/>
        </w:tabs>
        <w:ind w:left="2160" w:hanging="720"/>
      </w:pPr>
      <w:rPr>
        <w:rFonts w:ascii="Arial" w:eastAsia="SimSun" w:hAnsi="Arial" w:hint="default"/>
        <w:b w:val="0"/>
        <w:i w:val="0"/>
        <w:spacing w:val="0"/>
        <w:w w:val="100"/>
        <w:position w:val="0"/>
        <w:sz w:val="20"/>
        <w:szCs w:val="20"/>
      </w:rPr>
    </w:lvl>
    <w:lvl w:ilvl="3">
      <w:start w:val="1"/>
      <w:numFmt w:val="upperLetter"/>
      <w:pStyle w:val="LetterH4"/>
      <w:lvlText w:val="(%4)"/>
      <w:lvlJc w:val="left"/>
      <w:pPr>
        <w:tabs>
          <w:tab w:val="num" w:pos="2880"/>
        </w:tabs>
        <w:ind w:left="2880" w:hanging="720"/>
      </w:pPr>
      <w:rPr>
        <w:rFonts w:ascii="Arial" w:eastAsia="SimSun" w:hAnsi="Arial" w:hint="default"/>
        <w:b w:val="0"/>
        <w:i w:val="0"/>
        <w:spacing w:val="0"/>
        <w:w w:val="100"/>
        <w:position w:val="0"/>
        <w:sz w:val="20"/>
        <w:szCs w:val="20"/>
      </w:rPr>
    </w:lvl>
    <w:lvl w:ilvl="4">
      <w:start w:val="1"/>
      <w:numFmt w:val="upperRoman"/>
      <w:pStyle w:val="LetterH5"/>
      <w:lvlText w:val="(%5)"/>
      <w:lvlJc w:val="left"/>
      <w:pPr>
        <w:tabs>
          <w:tab w:val="num" w:pos="3600"/>
        </w:tabs>
        <w:ind w:left="3600" w:hanging="720"/>
      </w:pPr>
      <w:rPr>
        <w:rFonts w:ascii="Arial" w:eastAsia="SimSun" w:hAnsi="Arial" w:hint="default"/>
        <w:b w:val="0"/>
        <w:i w:val="0"/>
        <w:spacing w:val="0"/>
        <w:w w:val="100"/>
        <w:position w:val="0"/>
        <w:sz w:val="20"/>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
    <w:nsid w:val="0EA03911"/>
    <w:multiLevelType w:val="hybridMultilevel"/>
    <w:tmpl w:val="E1AC0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9C1907"/>
    <w:multiLevelType w:val="multilevel"/>
    <w:tmpl w:val="6B063B4C"/>
    <w:styleLink w:val="Style-Schedule"/>
    <w:lvl w:ilvl="0">
      <w:start w:val="1"/>
      <w:numFmt w:val="decimal"/>
      <w:pStyle w:val="ScheduleH1"/>
      <w:lvlText w:val="%1."/>
      <w:lvlJc w:val="left"/>
      <w:pPr>
        <w:tabs>
          <w:tab w:val="num" w:pos="720"/>
        </w:tabs>
        <w:ind w:left="720" w:hanging="720"/>
      </w:pPr>
      <w:rPr>
        <w:rFonts w:ascii="Arial" w:eastAsia="SimSun" w:hAnsi="Arial" w:hint="default"/>
        <w:b/>
        <w:i w:val="0"/>
        <w:sz w:val="22"/>
      </w:rPr>
    </w:lvl>
    <w:lvl w:ilvl="1">
      <w:start w:val="1"/>
      <w:numFmt w:val="decimal"/>
      <w:pStyle w:val="ScheduleH2"/>
      <w:lvlText w:val="%1.%2"/>
      <w:lvlJc w:val="left"/>
      <w:pPr>
        <w:tabs>
          <w:tab w:val="num" w:pos="720"/>
        </w:tabs>
        <w:ind w:left="720" w:hanging="720"/>
      </w:pPr>
      <w:rPr>
        <w:rFonts w:ascii="Arial Bold" w:eastAsia="SimSun" w:hAnsi="Arial Bold" w:hint="default"/>
        <w:b/>
        <w:i w:val="0"/>
        <w:sz w:val="21"/>
      </w:rPr>
    </w:lvl>
    <w:lvl w:ilvl="2">
      <w:start w:val="1"/>
      <w:numFmt w:val="decimal"/>
      <w:pStyle w:val="ScheduleH3"/>
      <w:lvlText w:val="%1.%2.%3"/>
      <w:lvlJc w:val="left"/>
      <w:pPr>
        <w:tabs>
          <w:tab w:val="num" w:pos="1440"/>
        </w:tabs>
        <w:ind w:left="1440" w:hanging="720"/>
      </w:pPr>
      <w:rPr>
        <w:rFonts w:ascii="Arial Bold" w:eastAsia="SimSun" w:hAnsi="Arial Bold" w:hint="default"/>
        <w:b/>
        <w:i w:val="0"/>
        <w:sz w:val="17"/>
      </w:rPr>
    </w:lvl>
    <w:lvl w:ilvl="3">
      <w:start w:val="1"/>
      <w:numFmt w:val="lowerRoman"/>
      <w:pStyle w:val="ScheduleH4"/>
      <w:lvlText w:val="(%4)"/>
      <w:lvlJc w:val="left"/>
      <w:pPr>
        <w:tabs>
          <w:tab w:val="num" w:pos="2160"/>
        </w:tabs>
        <w:ind w:left="2160" w:hanging="720"/>
      </w:pPr>
      <w:rPr>
        <w:rFonts w:ascii="Arial" w:eastAsia="SimSun" w:hAnsi="Arial" w:hint="default"/>
        <w:b w:val="0"/>
        <w:i w:val="0"/>
        <w:sz w:val="20"/>
      </w:rPr>
    </w:lvl>
    <w:lvl w:ilvl="4">
      <w:start w:val="1"/>
      <w:numFmt w:val="lowerLetter"/>
      <w:pStyle w:val="ScheduleH5"/>
      <w:lvlText w:val="(%5)"/>
      <w:lvlJc w:val="left"/>
      <w:pPr>
        <w:tabs>
          <w:tab w:val="num" w:pos="2592"/>
        </w:tabs>
        <w:ind w:left="2592" w:hanging="432"/>
      </w:pPr>
      <w:rPr>
        <w:rFonts w:hint="default"/>
      </w:rPr>
    </w:lvl>
    <w:lvl w:ilvl="5">
      <w:start w:val="1"/>
      <w:numFmt w:val="upperRoman"/>
      <w:pStyle w:val="ScheduleH6"/>
      <w:lvlText w:val="(%6)"/>
      <w:lvlJc w:val="left"/>
      <w:pPr>
        <w:tabs>
          <w:tab w:val="num" w:pos="3168"/>
        </w:tabs>
        <w:ind w:left="3168" w:hanging="576"/>
      </w:pPr>
      <w:rPr>
        <w:rFonts w:ascii="Arial" w:eastAsia="SimSun" w:hAnsi="Arial"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nsid w:val="20D4127A"/>
    <w:multiLevelType w:val="multilevel"/>
    <w:tmpl w:val="6CE046CA"/>
    <w:lvl w:ilvl="0">
      <w:start w:val="1"/>
      <w:numFmt w:val="decimal"/>
      <w:pStyle w:val="Heading1"/>
      <w:lvlText w:val="%1."/>
      <w:lvlJc w:val="left"/>
      <w:pPr>
        <w:tabs>
          <w:tab w:val="num" w:pos="720"/>
        </w:tabs>
        <w:ind w:left="720" w:hanging="720"/>
      </w:pPr>
      <w:rPr>
        <w:rFonts w:ascii="Arial" w:eastAsia="SimSun" w:hAnsi="Arial" w:cs="Arial" w:hint="default"/>
        <w:b/>
        <w:i w:val="0"/>
        <w:sz w:val="22"/>
        <w:szCs w:val="22"/>
      </w:rPr>
    </w:lvl>
    <w:lvl w:ilvl="1">
      <w:start w:val="1"/>
      <w:numFmt w:val="decimal"/>
      <w:pStyle w:val="Heading2"/>
      <w:lvlText w:val="%1.%2"/>
      <w:lvlJc w:val="left"/>
      <w:pPr>
        <w:tabs>
          <w:tab w:val="num" w:pos="720"/>
        </w:tabs>
        <w:ind w:left="720" w:hanging="720"/>
      </w:pPr>
      <w:rPr>
        <w:rFonts w:ascii="Arial" w:eastAsia="SimSun" w:hAnsi="Arial" w:cs="Arial" w:hint="default"/>
        <w:b/>
        <w:i w:val="0"/>
        <w:sz w:val="21"/>
        <w:szCs w:val="21"/>
      </w:rPr>
    </w:lvl>
    <w:lvl w:ilvl="2">
      <w:start w:val="1"/>
      <w:numFmt w:val="decimal"/>
      <w:pStyle w:val="Heading3"/>
      <w:lvlText w:val="%1.%2.%3"/>
      <w:lvlJc w:val="left"/>
      <w:pPr>
        <w:tabs>
          <w:tab w:val="num" w:pos="1440"/>
        </w:tabs>
        <w:ind w:left="1440" w:hanging="720"/>
      </w:pPr>
      <w:rPr>
        <w:rFonts w:ascii="Arial" w:eastAsia="SimSun" w:hAnsi="Arial" w:cs="Arial" w:hint="default"/>
        <w:b/>
        <w:i w:val="0"/>
        <w:sz w:val="17"/>
        <w:szCs w:val="17"/>
      </w:rPr>
    </w:lvl>
    <w:lvl w:ilvl="3">
      <w:start w:val="1"/>
      <w:numFmt w:val="lowerRoman"/>
      <w:pStyle w:val="Heading4"/>
      <w:lvlText w:val="(%4)"/>
      <w:lvlJc w:val="left"/>
      <w:pPr>
        <w:tabs>
          <w:tab w:val="num" w:pos="2160"/>
        </w:tabs>
        <w:ind w:left="2160" w:hanging="720"/>
      </w:pPr>
      <w:rPr>
        <w:rFonts w:ascii="Arial" w:eastAsia="SimSun" w:hAnsi="Arial" w:hint="default"/>
        <w:b w:val="0"/>
        <w:i w:val="0"/>
        <w:sz w:val="20"/>
        <w:szCs w:val="20"/>
      </w:rPr>
    </w:lvl>
    <w:lvl w:ilvl="4">
      <w:start w:val="1"/>
      <w:numFmt w:val="lowerLetter"/>
      <w:pStyle w:val="Heading5"/>
      <w:lvlText w:val="(%5)"/>
      <w:lvlJc w:val="left"/>
      <w:pPr>
        <w:tabs>
          <w:tab w:val="num" w:pos="2592"/>
        </w:tabs>
        <w:ind w:left="2592" w:hanging="432"/>
      </w:pPr>
      <w:rPr>
        <w:rFonts w:ascii="Arial" w:eastAsia="SimSun" w:hAnsi="Arial" w:hint="default"/>
        <w:b w:val="0"/>
        <w:i w:val="0"/>
        <w:sz w:val="20"/>
        <w:szCs w:val="20"/>
      </w:rPr>
    </w:lvl>
    <w:lvl w:ilvl="5">
      <w:start w:val="1"/>
      <w:numFmt w:val="upperRoman"/>
      <w:pStyle w:val="Heading6"/>
      <w:lvlText w:val="(%6)"/>
      <w:lvlJc w:val="left"/>
      <w:pPr>
        <w:tabs>
          <w:tab w:val="num" w:pos="3168"/>
        </w:tabs>
        <w:ind w:left="3168" w:hanging="576"/>
      </w:pPr>
      <w:rPr>
        <w:rFonts w:ascii="Arial" w:eastAsia="SimSun" w:hAnsi="Arial" w:hint="default"/>
        <w:b w:val="0"/>
        <w:i w:val="0"/>
        <w:sz w:val="20"/>
        <w:szCs w:val="20"/>
      </w:rPr>
    </w:lvl>
    <w:lvl w:ilvl="6">
      <w:start w:val="1"/>
      <w:numFmt w:val="upperLetter"/>
      <w:pStyle w:val="Heading7"/>
      <w:lvlText w:val="(%7)"/>
      <w:lvlJc w:val="left"/>
      <w:pPr>
        <w:tabs>
          <w:tab w:val="num" w:pos="3744"/>
        </w:tabs>
        <w:ind w:left="3744" w:hanging="576"/>
      </w:pPr>
      <w:rPr>
        <w:rFonts w:ascii="Arial" w:eastAsia="SimSun" w:hAnsi="Arial" w:hint="default"/>
        <w:b w:val="0"/>
        <w:i w:val="0"/>
        <w:sz w:val="20"/>
        <w:szCs w:val="20"/>
      </w:rPr>
    </w:lvl>
    <w:lvl w:ilvl="7">
      <w:start w:val="1"/>
      <w:numFmt w:val="decimal"/>
      <w:pStyle w:val="Heading8"/>
      <w:lvlText w:val="(%8)"/>
      <w:lvlJc w:val="left"/>
      <w:pPr>
        <w:tabs>
          <w:tab w:val="num" w:pos="4320"/>
        </w:tabs>
        <w:ind w:left="4320" w:hanging="576"/>
      </w:pPr>
      <w:rPr>
        <w:rFonts w:ascii="Arial" w:eastAsia="SimSun" w:hAnsi="Arial" w:hint="default"/>
        <w:b w:val="0"/>
        <w:i w:val="0"/>
        <w:sz w:val="20"/>
        <w:szCs w:val="20"/>
      </w:rPr>
    </w:lvl>
    <w:lvl w:ilvl="8">
      <w:start w:val="1"/>
      <w:numFmt w:val="lowerLetter"/>
      <w:pStyle w:val="Heading9"/>
      <w:lvlText w:val="%9)"/>
      <w:lvlJc w:val="left"/>
      <w:pPr>
        <w:tabs>
          <w:tab w:val="num" w:pos="4896"/>
        </w:tabs>
        <w:ind w:left="4896" w:hanging="576"/>
      </w:pPr>
      <w:rPr>
        <w:rFonts w:ascii="Arial" w:eastAsia="SimSun" w:hAnsi="Arial" w:hint="default"/>
        <w:b w:val="0"/>
        <w:i w:val="0"/>
        <w:sz w:val="20"/>
        <w:szCs w:val="20"/>
      </w:rPr>
    </w:lvl>
  </w:abstractNum>
  <w:abstractNum w:abstractNumId="4">
    <w:nsid w:val="2D1E1462"/>
    <w:multiLevelType w:val="multilevel"/>
    <w:tmpl w:val="BDB8B3C6"/>
    <w:styleLink w:val="Style-ScheduleTitle"/>
    <w:lvl w:ilvl="0">
      <w:start w:val="1"/>
      <w:numFmt w:val="decimal"/>
      <w:pStyle w:val="Schedule-1Title"/>
      <w:suff w:val="space"/>
      <w:lvlText w:val="Schedule %1"/>
      <w:lvlJc w:val="left"/>
      <w:pPr>
        <w:ind w:left="0" w:firstLine="0"/>
      </w:pPr>
      <w:rPr>
        <w:rFonts w:ascii="Arial" w:eastAsia="SimSun" w:hAnsi="Arial" w:hint="default"/>
        <w:b/>
        <w:i w:val="0"/>
        <w:sz w:val="22"/>
      </w:rPr>
    </w:lvl>
    <w:lvl w:ilvl="1">
      <w:start w:val="1"/>
      <w:numFmt w:val="decimal"/>
      <w:pStyle w:val="Schedule-2Title"/>
      <w:suff w:val="space"/>
      <w:lvlText w:val="Part %2"/>
      <w:lvlJc w:val="left"/>
      <w:pPr>
        <w:ind w:left="0" w:firstLine="0"/>
      </w:pPr>
      <w:rPr>
        <w:rFonts w:ascii="Arial Bold" w:eastAsia="SimSun" w:hAnsi="Arial Bold" w:hint="default"/>
        <w:b/>
        <w:i w:val="0"/>
        <w:sz w:val="21"/>
      </w:rPr>
    </w:lvl>
    <w:lvl w:ilvl="2">
      <w:start w:val="1"/>
      <w:numFmt w:val="decimal"/>
      <w:pStyle w:val="Schedule-3Title"/>
      <w:lvlText w:val="%2.%3"/>
      <w:lvlJc w:val="left"/>
      <w:pPr>
        <w:tabs>
          <w:tab w:val="num" w:pos="720"/>
        </w:tabs>
        <w:ind w:left="720" w:hanging="720"/>
      </w:pPr>
      <w:rPr>
        <w:rFonts w:ascii="Arial Bold" w:eastAsia="SimSun" w:hAnsi="Arial Bold" w:hint="default"/>
        <w:b/>
        <w:i w:val="0"/>
        <w:sz w:val="21"/>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
    <w:nsid w:val="31775C68"/>
    <w:multiLevelType w:val="multilevel"/>
    <w:tmpl w:val="6D9C641E"/>
    <w:styleLink w:val="Style-AppendixTitle"/>
    <w:lvl w:ilvl="0">
      <w:start w:val="1"/>
      <w:numFmt w:val="upperLetter"/>
      <w:pStyle w:val="Appendix-1Title"/>
      <w:suff w:val="space"/>
      <w:lvlText w:val="Appendix %1"/>
      <w:lvlJc w:val="left"/>
      <w:pPr>
        <w:ind w:left="0" w:firstLine="0"/>
      </w:pPr>
      <w:rPr>
        <w:rFonts w:ascii="Arial" w:eastAsia="SimSun" w:hAnsi="Arial" w:hint="default"/>
        <w:b/>
        <w:i w:val="0"/>
        <w:sz w:val="22"/>
      </w:rPr>
    </w:lvl>
    <w:lvl w:ilvl="1">
      <w:start w:val="1"/>
      <w:numFmt w:val="decimal"/>
      <w:pStyle w:val="Appendix-2Title"/>
      <w:suff w:val="space"/>
      <w:lvlText w:val="Part %2"/>
      <w:lvlJc w:val="left"/>
      <w:pPr>
        <w:ind w:left="0" w:firstLine="0"/>
      </w:pPr>
      <w:rPr>
        <w:rFonts w:ascii="Arial Bold" w:eastAsia="SimSun" w:hAnsi="Arial Bold" w:hint="default"/>
        <w:b/>
        <w:i w:val="0"/>
        <w:sz w:val="21"/>
      </w:rPr>
    </w:lvl>
    <w:lvl w:ilvl="2">
      <w:start w:val="1"/>
      <w:numFmt w:val="decimal"/>
      <w:pStyle w:val="Appendix-3Title"/>
      <w:lvlText w:val="%2.%3"/>
      <w:lvlJc w:val="left"/>
      <w:pPr>
        <w:tabs>
          <w:tab w:val="num" w:pos="720"/>
        </w:tabs>
        <w:ind w:left="720" w:hanging="720"/>
      </w:pPr>
      <w:rPr>
        <w:rFonts w:ascii="Arial Bold" w:eastAsia="SimSun" w:hAnsi="Arial Bold" w:hint="default"/>
        <w:b/>
        <w:i w:val="0"/>
        <w:sz w:val="21"/>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
    <w:nsid w:val="45DF503B"/>
    <w:multiLevelType w:val="multilevel"/>
    <w:tmpl w:val="1F2E701C"/>
    <w:styleLink w:val="Style-Parties"/>
    <w:lvl w:ilvl="0">
      <w:start w:val="1"/>
      <w:numFmt w:val="decimal"/>
      <w:pStyle w:val="Parties"/>
      <w:lvlText w:val="(%1)"/>
      <w:lvlJc w:val="left"/>
      <w:pPr>
        <w:tabs>
          <w:tab w:val="num" w:pos="720"/>
        </w:tabs>
        <w:ind w:left="720" w:hanging="720"/>
      </w:pPr>
      <w:rPr>
        <w:rFonts w:ascii="Arial" w:eastAsia="SimSun" w:hAnsi="Arial" w:hint="default"/>
        <w:b/>
        <w:i w:val="0"/>
        <w:sz w:val="20"/>
        <w:szCs w:val="20"/>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
    <w:nsid w:val="4CEF2E4E"/>
    <w:multiLevelType w:val="hybridMultilevel"/>
    <w:tmpl w:val="DAFECD2A"/>
    <w:lvl w:ilvl="0" w:tplc="ACDE5946">
      <w:start w:val="1"/>
      <w:numFmt w:val="decimal"/>
      <w:lvlText w:val="%1."/>
      <w:lvlJc w:val="left"/>
      <w:pPr>
        <w:ind w:left="450" w:hanging="360"/>
      </w:pPr>
      <w:rPr>
        <w:rFonts w:hint="default"/>
        <w:b/>
      </w:rPr>
    </w:lvl>
    <w:lvl w:ilvl="1" w:tplc="48090019" w:tentative="1">
      <w:start w:val="1"/>
      <w:numFmt w:val="lowerLetter"/>
      <w:lvlText w:val="%2."/>
      <w:lvlJc w:val="left"/>
      <w:pPr>
        <w:ind w:left="1152" w:hanging="360"/>
      </w:pPr>
    </w:lvl>
    <w:lvl w:ilvl="2" w:tplc="4809001B" w:tentative="1">
      <w:start w:val="1"/>
      <w:numFmt w:val="lowerRoman"/>
      <w:lvlText w:val="%3."/>
      <w:lvlJc w:val="right"/>
      <w:pPr>
        <w:ind w:left="1872" w:hanging="180"/>
      </w:pPr>
    </w:lvl>
    <w:lvl w:ilvl="3" w:tplc="4809000F" w:tentative="1">
      <w:start w:val="1"/>
      <w:numFmt w:val="decimal"/>
      <w:lvlText w:val="%4."/>
      <w:lvlJc w:val="left"/>
      <w:pPr>
        <w:ind w:left="2592" w:hanging="360"/>
      </w:pPr>
    </w:lvl>
    <w:lvl w:ilvl="4" w:tplc="48090019" w:tentative="1">
      <w:start w:val="1"/>
      <w:numFmt w:val="lowerLetter"/>
      <w:lvlText w:val="%5."/>
      <w:lvlJc w:val="left"/>
      <w:pPr>
        <w:ind w:left="3312" w:hanging="360"/>
      </w:pPr>
    </w:lvl>
    <w:lvl w:ilvl="5" w:tplc="4809001B" w:tentative="1">
      <w:start w:val="1"/>
      <w:numFmt w:val="lowerRoman"/>
      <w:lvlText w:val="%6."/>
      <w:lvlJc w:val="right"/>
      <w:pPr>
        <w:ind w:left="4032" w:hanging="180"/>
      </w:pPr>
    </w:lvl>
    <w:lvl w:ilvl="6" w:tplc="4809000F" w:tentative="1">
      <w:start w:val="1"/>
      <w:numFmt w:val="decimal"/>
      <w:lvlText w:val="%7."/>
      <w:lvlJc w:val="left"/>
      <w:pPr>
        <w:ind w:left="4752" w:hanging="360"/>
      </w:pPr>
    </w:lvl>
    <w:lvl w:ilvl="7" w:tplc="48090019" w:tentative="1">
      <w:start w:val="1"/>
      <w:numFmt w:val="lowerLetter"/>
      <w:lvlText w:val="%8."/>
      <w:lvlJc w:val="left"/>
      <w:pPr>
        <w:ind w:left="5472" w:hanging="360"/>
      </w:pPr>
    </w:lvl>
    <w:lvl w:ilvl="8" w:tplc="4809001B" w:tentative="1">
      <w:start w:val="1"/>
      <w:numFmt w:val="lowerRoman"/>
      <w:lvlText w:val="%9."/>
      <w:lvlJc w:val="right"/>
      <w:pPr>
        <w:ind w:left="6192" w:hanging="180"/>
      </w:pPr>
    </w:lvl>
  </w:abstractNum>
  <w:abstractNum w:abstractNumId="8">
    <w:nsid w:val="60EA2FF4"/>
    <w:multiLevelType w:val="multilevel"/>
    <w:tmpl w:val="9954A320"/>
    <w:styleLink w:val="Style-Appendix"/>
    <w:lvl w:ilvl="0">
      <w:start w:val="1"/>
      <w:numFmt w:val="decimal"/>
      <w:pStyle w:val="AppendixH1"/>
      <w:lvlText w:val="%1."/>
      <w:lvlJc w:val="left"/>
      <w:pPr>
        <w:tabs>
          <w:tab w:val="num" w:pos="720"/>
        </w:tabs>
        <w:ind w:left="720" w:hanging="720"/>
      </w:pPr>
      <w:rPr>
        <w:rFonts w:ascii="Arial" w:eastAsia="SimSun" w:hAnsi="Arial"/>
        <w:b/>
        <w:sz w:val="22"/>
        <w:szCs w:val="22"/>
      </w:rPr>
    </w:lvl>
    <w:lvl w:ilvl="1">
      <w:start w:val="1"/>
      <w:numFmt w:val="decimal"/>
      <w:pStyle w:val="AppendixH2"/>
      <w:lvlText w:val="%1.%2"/>
      <w:lvlJc w:val="left"/>
      <w:pPr>
        <w:tabs>
          <w:tab w:val="num" w:pos="720"/>
        </w:tabs>
        <w:ind w:left="720" w:hanging="720"/>
      </w:pPr>
      <w:rPr>
        <w:rFonts w:ascii="Arial Bold" w:eastAsia="SimSun" w:hAnsi="Arial Bold" w:hint="default"/>
        <w:b/>
        <w:i w:val="0"/>
        <w:sz w:val="21"/>
        <w:szCs w:val="21"/>
      </w:rPr>
    </w:lvl>
    <w:lvl w:ilvl="2">
      <w:start w:val="1"/>
      <w:numFmt w:val="decimal"/>
      <w:pStyle w:val="AppendixH3"/>
      <w:lvlText w:val="%1.%2.%3"/>
      <w:lvlJc w:val="left"/>
      <w:pPr>
        <w:tabs>
          <w:tab w:val="num" w:pos="1440"/>
        </w:tabs>
        <w:ind w:left="1440" w:hanging="720"/>
      </w:pPr>
      <w:rPr>
        <w:rFonts w:ascii="Arial Bold" w:eastAsia="SimSun" w:hAnsi="Arial Bold" w:hint="default"/>
        <w:b/>
        <w:i w:val="0"/>
        <w:sz w:val="17"/>
        <w:szCs w:val="21"/>
      </w:rPr>
    </w:lvl>
    <w:lvl w:ilvl="3">
      <w:start w:val="1"/>
      <w:numFmt w:val="lowerRoman"/>
      <w:lvlRestart w:val="1"/>
      <w:pStyle w:val="AppendixH4"/>
      <w:lvlText w:val="(%4)"/>
      <w:lvlJc w:val="left"/>
      <w:pPr>
        <w:tabs>
          <w:tab w:val="num" w:pos="2160"/>
        </w:tabs>
        <w:ind w:left="2160" w:hanging="720"/>
      </w:pPr>
      <w:rPr>
        <w:rFonts w:ascii="Arial" w:eastAsia="SimSun" w:hAnsi="Arial" w:hint="default"/>
        <w:b w:val="0"/>
        <w:i w:val="0"/>
        <w:sz w:val="20"/>
        <w:szCs w:val="22"/>
      </w:rPr>
    </w:lvl>
    <w:lvl w:ilvl="4">
      <w:start w:val="1"/>
      <w:numFmt w:val="lowerLetter"/>
      <w:pStyle w:val="AppendixH5"/>
      <w:lvlText w:val="(%5)"/>
      <w:lvlJc w:val="left"/>
      <w:pPr>
        <w:tabs>
          <w:tab w:val="num" w:pos="2592"/>
        </w:tabs>
        <w:ind w:left="2592" w:hanging="432"/>
      </w:pPr>
      <w:rPr>
        <w:rFonts w:ascii="Arial" w:eastAsia="SimSun" w:hAnsi="Arial" w:hint="default"/>
        <w:b w:val="0"/>
        <w:i w:val="0"/>
        <w:sz w:val="20"/>
        <w:szCs w:val="21"/>
      </w:rPr>
    </w:lvl>
    <w:lvl w:ilvl="5">
      <w:start w:val="1"/>
      <w:numFmt w:val="upperRoman"/>
      <w:pStyle w:val="AppendixH6"/>
      <w:lvlText w:val="(%6)"/>
      <w:lvlJc w:val="left"/>
      <w:pPr>
        <w:tabs>
          <w:tab w:val="num" w:pos="3168"/>
        </w:tabs>
        <w:ind w:left="3168" w:hanging="576"/>
      </w:pPr>
      <w:rPr>
        <w:rFonts w:ascii="Arial" w:eastAsia="SimSun" w:hAnsi="Arial" w:hint="default"/>
        <w:b w:val="0"/>
        <w:i w:val="0"/>
        <w:sz w:val="20"/>
        <w:szCs w:val="17"/>
      </w:rPr>
    </w:lvl>
    <w:lvl w:ilvl="6">
      <w:start w:val="1"/>
      <w:numFmt w:val="none"/>
      <w:lvlText w:val=""/>
      <w:lvlJc w:val="left"/>
      <w:pPr>
        <w:tabs>
          <w:tab w:val="num" w:pos="0"/>
        </w:tabs>
        <w:ind w:left="0" w:firstLine="0"/>
      </w:pPr>
      <w:rPr>
        <w:rFonts w:ascii="Arial" w:eastAsia="SimSun" w:hAnsi="Arial" w:hint="default"/>
        <w:b w:val="0"/>
        <w:i w:val="0"/>
        <w:sz w:val="20"/>
        <w:szCs w:val="20"/>
      </w:rPr>
    </w:lvl>
    <w:lvl w:ilvl="7">
      <w:start w:val="1"/>
      <w:numFmt w:val="none"/>
      <w:lvlText w:val=""/>
      <w:lvlJc w:val="left"/>
      <w:pPr>
        <w:tabs>
          <w:tab w:val="num" w:pos="0"/>
        </w:tabs>
        <w:ind w:left="0" w:firstLine="0"/>
      </w:pPr>
      <w:rPr>
        <w:rFonts w:ascii="Arial" w:eastAsia="SimSun" w:hAnsi="Arial" w:hint="default"/>
        <w:b w:val="0"/>
        <w:i w:val="0"/>
        <w:sz w:val="20"/>
        <w:szCs w:val="20"/>
      </w:rPr>
    </w:lvl>
    <w:lvl w:ilvl="8">
      <w:start w:val="1"/>
      <w:numFmt w:val="none"/>
      <w:lvlText w:val=""/>
      <w:lvlJc w:val="left"/>
      <w:pPr>
        <w:tabs>
          <w:tab w:val="num" w:pos="0"/>
        </w:tabs>
        <w:ind w:left="0" w:firstLine="0"/>
      </w:pPr>
      <w:rPr>
        <w:rFonts w:ascii="Arial" w:eastAsia="SimSun" w:hAnsi="Arial" w:hint="default"/>
        <w:b w:val="0"/>
        <w:i w:val="0"/>
        <w:sz w:val="20"/>
        <w:szCs w:val="20"/>
      </w:rPr>
    </w:lvl>
  </w:abstractNum>
  <w:abstractNum w:abstractNumId="9">
    <w:nsid w:val="65541DBD"/>
    <w:multiLevelType w:val="multilevel"/>
    <w:tmpl w:val="21309F84"/>
    <w:styleLink w:val="Style-BodyList"/>
    <w:lvl w:ilvl="0">
      <w:start w:val="1"/>
      <w:numFmt w:val="decimal"/>
      <w:pStyle w:val="BodyList"/>
      <w:lvlText w:val="%1."/>
      <w:lvlJc w:val="left"/>
      <w:pPr>
        <w:ind w:left="720" w:hanging="720"/>
      </w:pPr>
      <w:rPr>
        <w:rFonts w:hint="default"/>
      </w:rPr>
    </w:lvl>
    <w:lvl w:ilvl="1">
      <w:start w:val="1"/>
      <w:numFmt w:val="lowerLetter"/>
      <w:pStyle w:val="BodyList05"/>
      <w:lvlText w:val="(%2)"/>
      <w:lvlJc w:val="left"/>
      <w:pPr>
        <w:ind w:left="1440" w:hanging="720"/>
      </w:pPr>
      <w:rPr>
        <w:rFonts w:hint="default"/>
      </w:rPr>
    </w:lvl>
    <w:lvl w:ilvl="2">
      <w:start w:val="1"/>
      <w:numFmt w:val="lowerRoman"/>
      <w:pStyle w:val="BodyList10"/>
      <w:lvlText w:val="(%3)"/>
      <w:lvlJc w:val="left"/>
      <w:pPr>
        <w:ind w:left="2160" w:hanging="720"/>
      </w:pPr>
      <w:rPr>
        <w:rFonts w:hint="default"/>
      </w:rPr>
    </w:lvl>
    <w:lvl w:ilvl="3">
      <w:start w:val="1"/>
      <w:numFmt w:val="decimal"/>
      <w:pStyle w:val="BodyList15"/>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0">
    <w:nsid w:val="6A4E0C90"/>
    <w:multiLevelType w:val="multilevel"/>
    <w:tmpl w:val="15664E6E"/>
    <w:styleLink w:val="Style-Recitals"/>
    <w:lvl w:ilvl="0">
      <w:start w:val="1"/>
      <w:numFmt w:val="upperLetter"/>
      <w:pStyle w:val="Recitals"/>
      <w:lvlText w:val="(%1)"/>
      <w:lvlJc w:val="left"/>
      <w:pPr>
        <w:tabs>
          <w:tab w:val="num" w:pos="720"/>
        </w:tabs>
        <w:ind w:left="720" w:hanging="720"/>
      </w:pPr>
      <w:rPr>
        <w:rFonts w:ascii="Arial" w:eastAsia="SimSun" w:hAnsi="Arial" w:hint="default"/>
        <w:b/>
        <w:i w:val="0"/>
        <w:sz w:val="20"/>
        <w:szCs w:val="20"/>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nsid w:val="6EBA1764"/>
    <w:multiLevelType w:val="hybridMultilevel"/>
    <w:tmpl w:val="ED72EB36"/>
    <w:lvl w:ilvl="0" w:tplc="08090011">
      <w:start w:val="1"/>
      <w:numFmt w:val="decimal"/>
      <w:lvlText w:val="%1)"/>
      <w:lvlJc w:val="left"/>
      <w:pPr>
        <w:ind w:left="2175" w:hanging="735"/>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nsid w:val="7A247B94"/>
    <w:multiLevelType w:val="hybridMultilevel"/>
    <w:tmpl w:val="5358CD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6"/>
  </w:num>
  <w:num w:numId="4">
    <w:abstractNumId w:val="10"/>
  </w:num>
  <w:num w:numId="5">
    <w:abstractNumId w:val="2"/>
  </w:num>
  <w:num w:numId="6">
    <w:abstractNumId w:val="4"/>
  </w:num>
  <w:num w:numId="7">
    <w:abstractNumId w:val="9"/>
  </w:num>
  <w:num w:numId="8">
    <w:abstractNumId w:val="3"/>
  </w:num>
  <w:num w:numId="9">
    <w:abstractNumId w:val="8"/>
  </w:num>
  <w:num w:numId="10">
    <w:abstractNumId w:val="5"/>
  </w:num>
  <w:num w:numId="11">
    <w:abstractNumId w:val="9"/>
  </w:num>
  <w:num w:numId="12">
    <w:abstractNumId w:val="6"/>
  </w:num>
  <w:num w:numId="13">
    <w:abstractNumId w:val="10"/>
  </w:num>
  <w:num w:numId="14">
    <w:abstractNumId w:val="2"/>
  </w:num>
  <w:num w:numId="15">
    <w:abstractNumId w:val="4"/>
  </w:num>
  <w:num w:numId="16">
    <w:abstractNumId w:val="0"/>
  </w:num>
  <w:num w:numId="17">
    <w:abstractNumId w:val="7"/>
  </w:num>
  <w:num w:numId="18">
    <w:abstractNumId w:val="12"/>
  </w:num>
  <w:num w:numId="19">
    <w:abstractNumId w:val="1"/>
  </w:num>
  <w:num w:numId="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344"/>
    <w:rsid w:val="0000192A"/>
    <w:rsid w:val="0000279C"/>
    <w:rsid w:val="00012867"/>
    <w:rsid w:val="00012D99"/>
    <w:rsid w:val="00013F50"/>
    <w:rsid w:val="00020258"/>
    <w:rsid w:val="0003286B"/>
    <w:rsid w:val="0003549B"/>
    <w:rsid w:val="00055993"/>
    <w:rsid w:val="00063370"/>
    <w:rsid w:val="0007556E"/>
    <w:rsid w:val="00084B5C"/>
    <w:rsid w:val="00095672"/>
    <w:rsid w:val="000A5D39"/>
    <w:rsid w:val="000D563B"/>
    <w:rsid w:val="000E5F99"/>
    <w:rsid w:val="00103796"/>
    <w:rsid w:val="001340BB"/>
    <w:rsid w:val="00142659"/>
    <w:rsid w:val="001430F9"/>
    <w:rsid w:val="00162FE5"/>
    <w:rsid w:val="00173DD9"/>
    <w:rsid w:val="0018036D"/>
    <w:rsid w:val="0018489B"/>
    <w:rsid w:val="001974D0"/>
    <w:rsid w:val="001C3AE5"/>
    <w:rsid w:val="001C4E69"/>
    <w:rsid w:val="001C588C"/>
    <w:rsid w:val="001C76B8"/>
    <w:rsid w:val="00203CD5"/>
    <w:rsid w:val="00242B5E"/>
    <w:rsid w:val="00272E59"/>
    <w:rsid w:val="002834BD"/>
    <w:rsid w:val="00290BF0"/>
    <w:rsid w:val="002911E6"/>
    <w:rsid w:val="002B62F8"/>
    <w:rsid w:val="002C125F"/>
    <w:rsid w:val="002C1A1A"/>
    <w:rsid w:val="002D12EE"/>
    <w:rsid w:val="002E27E5"/>
    <w:rsid w:val="002F7B2C"/>
    <w:rsid w:val="003073B9"/>
    <w:rsid w:val="00314104"/>
    <w:rsid w:val="00330F6C"/>
    <w:rsid w:val="003749AE"/>
    <w:rsid w:val="00377C99"/>
    <w:rsid w:val="003915A0"/>
    <w:rsid w:val="00395D50"/>
    <w:rsid w:val="00397DAA"/>
    <w:rsid w:val="003D0696"/>
    <w:rsid w:val="00405D47"/>
    <w:rsid w:val="004073FF"/>
    <w:rsid w:val="004135DF"/>
    <w:rsid w:val="00431750"/>
    <w:rsid w:val="00443B41"/>
    <w:rsid w:val="00445D22"/>
    <w:rsid w:val="004568C3"/>
    <w:rsid w:val="0047508B"/>
    <w:rsid w:val="004821BD"/>
    <w:rsid w:val="004924A3"/>
    <w:rsid w:val="004951A2"/>
    <w:rsid w:val="004B0683"/>
    <w:rsid w:val="004C7795"/>
    <w:rsid w:val="004F5415"/>
    <w:rsid w:val="00501802"/>
    <w:rsid w:val="005266C8"/>
    <w:rsid w:val="0052697C"/>
    <w:rsid w:val="0054039E"/>
    <w:rsid w:val="005633CB"/>
    <w:rsid w:val="0057116C"/>
    <w:rsid w:val="00593148"/>
    <w:rsid w:val="005B6CB2"/>
    <w:rsid w:val="005B7836"/>
    <w:rsid w:val="005D1589"/>
    <w:rsid w:val="005D6ADE"/>
    <w:rsid w:val="005F4344"/>
    <w:rsid w:val="00604E59"/>
    <w:rsid w:val="006060D6"/>
    <w:rsid w:val="0061736A"/>
    <w:rsid w:val="00621E2D"/>
    <w:rsid w:val="00636F73"/>
    <w:rsid w:val="0064247A"/>
    <w:rsid w:val="006676DE"/>
    <w:rsid w:val="00675B27"/>
    <w:rsid w:val="0069444A"/>
    <w:rsid w:val="006A7971"/>
    <w:rsid w:val="006B5A42"/>
    <w:rsid w:val="006D31E6"/>
    <w:rsid w:val="006E1B65"/>
    <w:rsid w:val="006E1B6F"/>
    <w:rsid w:val="006E3F41"/>
    <w:rsid w:val="006E55FF"/>
    <w:rsid w:val="0071092A"/>
    <w:rsid w:val="00721411"/>
    <w:rsid w:val="007604F0"/>
    <w:rsid w:val="0076127A"/>
    <w:rsid w:val="00782C72"/>
    <w:rsid w:val="007947B1"/>
    <w:rsid w:val="007B32DF"/>
    <w:rsid w:val="007B3E02"/>
    <w:rsid w:val="007D1C45"/>
    <w:rsid w:val="00802CF8"/>
    <w:rsid w:val="00803624"/>
    <w:rsid w:val="008154F0"/>
    <w:rsid w:val="00816CF9"/>
    <w:rsid w:val="00833B82"/>
    <w:rsid w:val="00845CDD"/>
    <w:rsid w:val="00847300"/>
    <w:rsid w:val="0089263C"/>
    <w:rsid w:val="008C1F94"/>
    <w:rsid w:val="008D5B85"/>
    <w:rsid w:val="008E17B0"/>
    <w:rsid w:val="008E3E9E"/>
    <w:rsid w:val="008E64EF"/>
    <w:rsid w:val="009328E2"/>
    <w:rsid w:val="00935405"/>
    <w:rsid w:val="00955BFB"/>
    <w:rsid w:val="009731B5"/>
    <w:rsid w:val="009744C7"/>
    <w:rsid w:val="00995729"/>
    <w:rsid w:val="009A117A"/>
    <w:rsid w:val="009E0582"/>
    <w:rsid w:val="009E295F"/>
    <w:rsid w:val="009F031B"/>
    <w:rsid w:val="00A029C8"/>
    <w:rsid w:val="00A0727F"/>
    <w:rsid w:val="00A323C8"/>
    <w:rsid w:val="00A325BE"/>
    <w:rsid w:val="00A3545B"/>
    <w:rsid w:val="00A55EED"/>
    <w:rsid w:val="00A60F0B"/>
    <w:rsid w:val="00A80DF0"/>
    <w:rsid w:val="00A864D6"/>
    <w:rsid w:val="00A94158"/>
    <w:rsid w:val="00A97C40"/>
    <w:rsid w:val="00AB57BB"/>
    <w:rsid w:val="00AC7338"/>
    <w:rsid w:val="00B44E51"/>
    <w:rsid w:val="00B46604"/>
    <w:rsid w:val="00B47C88"/>
    <w:rsid w:val="00B70CA1"/>
    <w:rsid w:val="00B90670"/>
    <w:rsid w:val="00B91A14"/>
    <w:rsid w:val="00BB3B76"/>
    <w:rsid w:val="00BB5190"/>
    <w:rsid w:val="00BB68EF"/>
    <w:rsid w:val="00BD2281"/>
    <w:rsid w:val="00BE37CE"/>
    <w:rsid w:val="00BF0A6C"/>
    <w:rsid w:val="00BF250B"/>
    <w:rsid w:val="00C224F6"/>
    <w:rsid w:val="00C2731D"/>
    <w:rsid w:val="00C27D55"/>
    <w:rsid w:val="00C4042A"/>
    <w:rsid w:val="00C43EB7"/>
    <w:rsid w:val="00C64B2D"/>
    <w:rsid w:val="00C84E79"/>
    <w:rsid w:val="00CA01C2"/>
    <w:rsid w:val="00CA6BA3"/>
    <w:rsid w:val="00CB46A7"/>
    <w:rsid w:val="00CB7BDF"/>
    <w:rsid w:val="00CC328C"/>
    <w:rsid w:val="00CC76F8"/>
    <w:rsid w:val="00CD101B"/>
    <w:rsid w:val="00CD7FA5"/>
    <w:rsid w:val="00D078A2"/>
    <w:rsid w:val="00D5035C"/>
    <w:rsid w:val="00D87BAC"/>
    <w:rsid w:val="00DD4E0F"/>
    <w:rsid w:val="00E0242C"/>
    <w:rsid w:val="00E16555"/>
    <w:rsid w:val="00E36764"/>
    <w:rsid w:val="00E4487E"/>
    <w:rsid w:val="00E54888"/>
    <w:rsid w:val="00E717FB"/>
    <w:rsid w:val="00E74440"/>
    <w:rsid w:val="00E81FD6"/>
    <w:rsid w:val="00E84603"/>
    <w:rsid w:val="00E93C13"/>
    <w:rsid w:val="00E952AE"/>
    <w:rsid w:val="00E95F98"/>
    <w:rsid w:val="00EA671E"/>
    <w:rsid w:val="00EC63AE"/>
    <w:rsid w:val="00ED1E98"/>
    <w:rsid w:val="00F0477F"/>
    <w:rsid w:val="00F152E9"/>
    <w:rsid w:val="00F21C90"/>
    <w:rsid w:val="00F40F64"/>
    <w:rsid w:val="00F55DC3"/>
    <w:rsid w:val="00F60AFD"/>
    <w:rsid w:val="00F61996"/>
    <w:rsid w:val="00F7225F"/>
    <w:rsid w:val="00F72A94"/>
    <w:rsid w:val="00F94E69"/>
    <w:rsid w:val="00FA2E34"/>
    <w:rsid w:val="00FC30E8"/>
    <w:rsid w:val="00FD4758"/>
    <w:rsid w:val="00FE5CEF"/>
    <w:rsid w:val="00FF4DB7"/>
    <w:rsid w:val="00FF5F5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lang w:val="en-GB" w:eastAsia="zh-CN" w:bidi="ar-SA"/>
      </w:rPr>
    </w:rPrDefault>
    <w:pPrDefault>
      <w:pPr>
        <w:spacing w:line="29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344"/>
    <w:rPr>
      <w:rFonts w:eastAsia="SimSun"/>
      <w:lang w:val="en-SG"/>
    </w:rPr>
  </w:style>
  <w:style w:type="paragraph" w:styleId="Heading1">
    <w:name w:val="heading 1"/>
    <w:link w:val="Heading1Char"/>
    <w:qFormat/>
    <w:rsid w:val="00CB7BDF"/>
    <w:pPr>
      <w:keepNext/>
      <w:numPr>
        <w:numId w:val="8"/>
      </w:numPr>
      <w:spacing w:after="240"/>
      <w:jc w:val="both"/>
      <w:outlineLvl w:val="0"/>
    </w:pPr>
    <w:rPr>
      <w:b/>
      <w:sz w:val="22"/>
      <w:szCs w:val="22"/>
      <w:lang w:val="en-US"/>
    </w:rPr>
  </w:style>
  <w:style w:type="paragraph" w:styleId="Heading2">
    <w:name w:val="heading 2"/>
    <w:link w:val="Heading2Char"/>
    <w:qFormat/>
    <w:rsid w:val="00CB7BDF"/>
    <w:pPr>
      <w:numPr>
        <w:ilvl w:val="1"/>
        <w:numId w:val="8"/>
      </w:numPr>
      <w:spacing w:after="240"/>
      <w:jc w:val="both"/>
      <w:outlineLvl w:val="1"/>
    </w:pPr>
  </w:style>
  <w:style w:type="paragraph" w:styleId="Heading3">
    <w:name w:val="heading 3"/>
    <w:link w:val="Heading3Char"/>
    <w:qFormat/>
    <w:rsid w:val="00CB7BDF"/>
    <w:pPr>
      <w:numPr>
        <w:ilvl w:val="2"/>
        <w:numId w:val="8"/>
      </w:numPr>
      <w:spacing w:after="240"/>
      <w:jc w:val="both"/>
      <w:outlineLvl w:val="2"/>
    </w:pPr>
  </w:style>
  <w:style w:type="paragraph" w:styleId="Heading4">
    <w:name w:val="heading 4"/>
    <w:link w:val="Heading4Char"/>
    <w:qFormat/>
    <w:rsid w:val="00CB7BDF"/>
    <w:pPr>
      <w:numPr>
        <w:ilvl w:val="3"/>
        <w:numId w:val="8"/>
      </w:numPr>
      <w:spacing w:after="240"/>
      <w:jc w:val="both"/>
      <w:outlineLvl w:val="3"/>
    </w:pPr>
  </w:style>
  <w:style w:type="paragraph" w:styleId="Heading5">
    <w:name w:val="heading 5"/>
    <w:link w:val="Heading5Char"/>
    <w:qFormat/>
    <w:rsid w:val="00CB7BDF"/>
    <w:pPr>
      <w:numPr>
        <w:ilvl w:val="4"/>
        <w:numId w:val="8"/>
      </w:numPr>
      <w:spacing w:after="240"/>
      <w:jc w:val="both"/>
      <w:outlineLvl w:val="4"/>
    </w:pPr>
  </w:style>
  <w:style w:type="paragraph" w:styleId="Heading6">
    <w:name w:val="heading 6"/>
    <w:link w:val="Heading6Char"/>
    <w:qFormat/>
    <w:rsid w:val="00CB7BDF"/>
    <w:pPr>
      <w:numPr>
        <w:ilvl w:val="5"/>
        <w:numId w:val="8"/>
      </w:numPr>
      <w:spacing w:after="240"/>
      <w:jc w:val="both"/>
      <w:outlineLvl w:val="5"/>
    </w:pPr>
  </w:style>
  <w:style w:type="paragraph" w:styleId="Heading7">
    <w:name w:val="heading 7"/>
    <w:link w:val="Heading7Char"/>
    <w:qFormat/>
    <w:rsid w:val="00CB7BDF"/>
    <w:pPr>
      <w:numPr>
        <w:ilvl w:val="6"/>
        <w:numId w:val="8"/>
      </w:numPr>
      <w:spacing w:after="240"/>
      <w:jc w:val="both"/>
      <w:outlineLvl w:val="6"/>
    </w:pPr>
  </w:style>
  <w:style w:type="paragraph" w:styleId="Heading8">
    <w:name w:val="heading 8"/>
    <w:link w:val="Heading8Char"/>
    <w:qFormat/>
    <w:rsid w:val="00CB7BDF"/>
    <w:pPr>
      <w:numPr>
        <w:ilvl w:val="7"/>
        <w:numId w:val="8"/>
      </w:numPr>
      <w:spacing w:after="240"/>
      <w:jc w:val="both"/>
      <w:outlineLvl w:val="7"/>
    </w:pPr>
  </w:style>
  <w:style w:type="paragraph" w:styleId="Heading9">
    <w:name w:val="heading 9"/>
    <w:link w:val="Heading9Char"/>
    <w:qFormat/>
    <w:rsid w:val="00CB7BDF"/>
    <w:pPr>
      <w:numPr>
        <w:ilvl w:val="8"/>
        <w:numId w:val="8"/>
      </w:numPr>
      <w:spacing w:after="24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7BDF"/>
    <w:rPr>
      <w:b/>
      <w:sz w:val="22"/>
      <w:szCs w:val="22"/>
      <w:lang w:val="en-US"/>
    </w:rPr>
  </w:style>
  <w:style w:type="character" w:customStyle="1" w:styleId="Heading2Char">
    <w:name w:val="Heading 2 Char"/>
    <w:basedOn w:val="DefaultParagraphFont"/>
    <w:link w:val="Heading2"/>
    <w:rsid w:val="00CB7BDF"/>
  </w:style>
  <w:style w:type="character" w:customStyle="1" w:styleId="Heading3Char">
    <w:name w:val="Heading 3 Char"/>
    <w:basedOn w:val="DefaultParagraphFont"/>
    <w:link w:val="Heading3"/>
    <w:rsid w:val="00CB7BDF"/>
  </w:style>
  <w:style w:type="character" w:customStyle="1" w:styleId="Heading4Char">
    <w:name w:val="Heading 4 Char"/>
    <w:basedOn w:val="DefaultParagraphFont"/>
    <w:link w:val="Heading4"/>
    <w:rsid w:val="00CB7BDF"/>
  </w:style>
  <w:style w:type="character" w:customStyle="1" w:styleId="Heading5Char">
    <w:name w:val="Heading 5 Char"/>
    <w:basedOn w:val="DefaultParagraphFont"/>
    <w:link w:val="Heading5"/>
    <w:rsid w:val="00CB7BDF"/>
  </w:style>
  <w:style w:type="character" w:customStyle="1" w:styleId="Heading6Char">
    <w:name w:val="Heading 6 Char"/>
    <w:basedOn w:val="DefaultParagraphFont"/>
    <w:link w:val="Heading6"/>
    <w:rsid w:val="00CB7BDF"/>
  </w:style>
  <w:style w:type="character" w:customStyle="1" w:styleId="Heading7Char">
    <w:name w:val="Heading 7 Char"/>
    <w:basedOn w:val="DefaultParagraphFont"/>
    <w:link w:val="Heading7"/>
    <w:rsid w:val="00CB7BDF"/>
  </w:style>
  <w:style w:type="character" w:customStyle="1" w:styleId="Heading8Char">
    <w:name w:val="Heading 8 Char"/>
    <w:basedOn w:val="DefaultParagraphFont"/>
    <w:link w:val="Heading8"/>
    <w:rsid w:val="00CB7BDF"/>
  </w:style>
  <w:style w:type="character" w:customStyle="1" w:styleId="Heading9Char">
    <w:name w:val="Heading 9 Char"/>
    <w:basedOn w:val="DefaultParagraphFont"/>
    <w:link w:val="Heading9"/>
    <w:rsid w:val="00CB7BDF"/>
  </w:style>
  <w:style w:type="paragraph" w:customStyle="1" w:styleId="AppendixH1">
    <w:name w:val="Appendix H1"/>
    <w:rsid w:val="00CB7BDF"/>
    <w:pPr>
      <w:keepNext/>
      <w:numPr>
        <w:numId w:val="9"/>
      </w:numPr>
      <w:spacing w:after="240"/>
      <w:jc w:val="both"/>
      <w:outlineLvl w:val="0"/>
    </w:pPr>
    <w:rPr>
      <w:rFonts w:eastAsia="SimSun"/>
      <w:b/>
      <w:sz w:val="22"/>
      <w:szCs w:val="22"/>
      <w:lang w:val="en-US"/>
    </w:rPr>
  </w:style>
  <w:style w:type="paragraph" w:customStyle="1" w:styleId="AppendixH2">
    <w:name w:val="Appendix H2"/>
    <w:rsid w:val="00CB7BDF"/>
    <w:pPr>
      <w:numPr>
        <w:ilvl w:val="1"/>
        <w:numId w:val="9"/>
      </w:numPr>
      <w:spacing w:after="240"/>
      <w:jc w:val="both"/>
      <w:outlineLvl w:val="1"/>
    </w:pPr>
    <w:rPr>
      <w:rFonts w:eastAsia="SimSun"/>
    </w:rPr>
  </w:style>
  <w:style w:type="paragraph" w:customStyle="1" w:styleId="AppendixH3">
    <w:name w:val="Appendix H3"/>
    <w:rsid w:val="00CB7BDF"/>
    <w:pPr>
      <w:numPr>
        <w:ilvl w:val="2"/>
        <w:numId w:val="9"/>
      </w:numPr>
      <w:spacing w:after="240"/>
      <w:jc w:val="both"/>
      <w:outlineLvl w:val="2"/>
    </w:pPr>
    <w:rPr>
      <w:rFonts w:eastAsia="SimSun"/>
    </w:rPr>
  </w:style>
  <w:style w:type="paragraph" w:customStyle="1" w:styleId="AppendixH4">
    <w:name w:val="Appendix H4"/>
    <w:rsid w:val="00CB7BDF"/>
    <w:pPr>
      <w:numPr>
        <w:ilvl w:val="3"/>
        <w:numId w:val="9"/>
      </w:numPr>
      <w:spacing w:after="240"/>
      <w:jc w:val="both"/>
      <w:outlineLvl w:val="3"/>
    </w:pPr>
    <w:rPr>
      <w:rFonts w:eastAsia="SimSun"/>
    </w:rPr>
  </w:style>
  <w:style w:type="paragraph" w:customStyle="1" w:styleId="AppendixH5">
    <w:name w:val="Appendix H5"/>
    <w:rsid w:val="00CB7BDF"/>
    <w:pPr>
      <w:numPr>
        <w:ilvl w:val="4"/>
        <w:numId w:val="9"/>
      </w:numPr>
      <w:spacing w:after="240"/>
      <w:jc w:val="both"/>
      <w:outlineLvl w:val="4"/>
    </w:pPr>
    <w:rPr>
      <w:rFonts w:eastAsia="SimSun"/>
    </w:rPr>
  </w:style>
  <w:style w:type="paragraph" w:customStyle="1" w:styleId="AppendixH6">
    <w:name w:val="Appendix H6"/>
    <w:rsid w:val="00CB7BDF"/>
    <w:pPr>
      <w:numPr>
        <w:ilvl w:val="5"/>
        <w:numId w:val="9"/>
      </w:numPr>
      <w:spacing w:after="240"/>
      <w:jc w:val="both"/>
      <w:outlineLvl w:val="5"/>
    </w:pPr>
    <w:rPr>
      <w:rFonts w:eastAsia="SimSun"/>
      <w:lang w:val="en-US"/>
    </w:rPr>
  </w:style>
  <w:style w:type="paragraph" w:customStyle="1" w:styleId="Appendix-1Title">
    <w:name w:val="Appendix-1 Title"/>
    <w:next w:val="BodyText"/>
    <w:rsid w:val="00CB7BDF"/>
    <w:pPr>
      <w:pageBreakBefore/>
      <w:numPr>
        <w:numId w:val="10"/>
      </w:numPr>
      <w:spacing w:after="240"/>
      <w:jc w:val="center"/>
      <w:outlineLvl w:val="0"/>
    </w:pPr>
    <w:rPr>
      <w:rFonts w:eastAsia="SimSun" w:cs="Arial"/>
      <w:b/>
      <w:bCs/>
      <w:sz w:val="22"/>
      <w:szCs w:val="22"/>
    </w:rPr>
  </w:style>
  <w:style w:type="paragraph" w:styleId="BodyText">
    <w:name w:val="Body Text"/>
    <w:basedOn w:val="AGBase"/>
    <w:link w:val="BodyTextChar"/>
    <w:rsid w:val="00CB7BDF"/>
  </w:style>
  <w:style w:type="character" w:customStyle="1" w:styleId="BodyTextChar">
    <w:name w:val="Body Text Char"/>
    <w:basedOn w:val="DefaultParagraphFont"/>
    <w:link w:val="BodyText"/>
    <w:rsid w:val="00CB7BDF"/>
    <w:rPr>
      <w:rFonts w:eastAsia="SimSun"/>
    </w:rPr>
  </w:style>
  <w:style w:type="paragraph" w:customStyle="1" w:styleId="Appendix-2Title">
    <w:name w:val="Appendix-2 Title"/>
    <w:next w:val="BodyText"/>
    <w:rsid w:val="00CB7BDF"/>
    <w:pPr>
      <w:keepNext/>
      <w:keepLines/>
      <w:numPr>
        <w:ilvl w:val="1"/>
        <w:numId w:val="10"/>
      </w:numPr>
      <w:spacing w:after="240"/>
      <w:jc w:val="both"/>
      <w:outlineLvl w:val="1"/>
    </w:pPr>
    <w:rPr>
      <w:rFonts w:eastAsia="SimSun"/>
      <w:b/>
      <w:noProof/>
    </w:rPr>
  </w:style>
  <w:style w:type="paragraph" w:customStyle="1" w:styleId="Appendix-3Title">
    <w:name w:val="Appendix-3 Title"/>
    <w:rsid w:val="00CB7BDF"/>
    <w:pPr>
      <w:numPr>
        <w:ilvl w:val="2"/>
        <w:numId w:val="10"/>
      </w:numPr>
      <w:spacing w:after="240"/>
      <w:jc w:val="both"/>
      <w:outlineLvl w:val="2"/>
    </w:pPr>
    <w:rPr>
      <w:rFonts w:eastAsia="SimSun"/>
      <w:b/>
      <w:noProof/>
    </w:rPr>
  </w:style>
  <w:style w:type="paragraph" w:customStyle="1" w:styleId="BodyText05">
    <w:name w:val="Body Text 0.5"/>
    <w:basedOn w:val="AGBase"/>
    <w:rsid w:val="00CB7BDF"/>
    <w:pPr>
      <w:ind w:left="720"/>
    </w:pPr>
    <w:rPr>
      <w:lang w:eastAsia="en-US"/>
    </w:rPr>
  </w:style>
  <w:style w:type="paragraph" w:customStyle="1" w:styleId="BodyText10">
    <w:name w:val="Body Text 1.0"/>
    <w:basedOn w:val="AGBase"/>
    <w:rsid w:val="00CB7BDF"/>
    <w:pPr>
      <w:ind w:left="1440"/>
    </w:pPr>
    <w:rPr>
      <w:lang w:eastAsia="en-US"/>
    </w:rPr>
  </w:style>
  <w:style w:type="paragraph" w:customStyle="1" w:styleId="BodyText15">
    <w:name w:val="Body Text 1.5"/>
    <w:basedOn w:val="AGBase"/>
    <w:rsid w:val="00CB7BDF"/>
    <w:pPr>
      <w:ind w:left="2160"/>
    </w:pPr>
  </w:style>
  <w:style w:type="paragraph" w:customStyle="1" w:styleId="DMSFooter">
    <w:name w:val="DMSFooter"/>
    <w:basedOn w:val="Footer"/>
    <w:rsid w:val="00E74440"/>
    <w:pPr>
      <w:tabs>
        <w:tab w:val="clear" w:pos="4451"/>
        <w:tab w:val="clear" w:pos="8902"/>
        <w:tab w:val="center" w:pos="4450"/>
        <w:tab w:val="right" w:pos="8899"/>
      </w:tabs>
      <w:spacing w:line="290" w:lineRule="auto"/>
      <w:jc w:val="left"/>
    </w:pPr>
    <w:rPr>
      <w:sz w:val="12"/>
      <w:lang w:val="en-SG"/>
    </w:rPr>
  </w:style>
  <w:style w:type="paragraph" w:styleId="Footer">
    <w:name w:val="footer"/>
    <w:basedOn w:val="AGBase"/>
    <w:link w:val="FooterChar"/>
    <w:rsid w:val="00E74440"/>
    <w:pPr>
      <w:tabs>
        <w:tab w:val="center" w:pos="4451"/>
        <w:tab w:val="right" w:pos="8902"/>
      </w:tabs>
      <w:spacing w:after="0" w:line="240" w:lineRule="auto"/>
      <w:jc w:val="right"/>
    </w:pPr>
    <w:rPr>
      <w:sz w:val="16"/>
    </w:rPr>
  </w:style>
  <w:style w:type="character" w:customStyle="1" w:styleId="FooterChar">
    <w:name w:val="Footer Char"/>
    <w:basedOn w:val="DefaultParagraphFont"/>
    <w:link w:val="Footer"/>
    <w:rsid w:val="00E74440"/>
    <w:rPr>
      <w:rFonts w:eastAsia="SimSun"/>
      <w:sz w:val="16"/>
    </w:rPr>
  </w:style>
  <w:style w:type="character" w:styleId="FootnoteReference">
    <w:name w:val="footnote reference"/>
    <w:basedOn w:val="AGBaseC"/>
    <w:uiPriority w:val="99"/>
    <w:rsid w:val="00CB7BDF"/>
    <w:rPr>
      <w:rFonts w:ascii="Arial" w:eastAsia="SimSun" w:hAnsi="Arial"/>
      <w:color w:val="auto"/>
      <w:sz w:val="16"/>
      <w:u w:val="none"/>
      <w:vertAlign w:val="superscript"/>
      <w:em w:val="none"/>
    </w:rPr>
  </w:style>
  <w:style w:type="paragraph" w:styleId="Header">
    <w:name w:val="header"/>
    <w:basedOn w:val="AGBase"/>
    <w:link w:val="HeaderChar"/>
    <w:rsid w:val="00B47C88"/>
    <w:pPr>
      <w:spacing w:after="0" w:line="240" w:lineRule="auto"/>
    </w:pPr>
    <w:rPr>
      <w:rFonts w:eastAsia="Times New Roman"/>
      <w:sz w:val="16"/>
    </w:rPr>
  </w:style>
  <w:style w:type="character" w:customStyle="1" w:styleId="HeaderChar">
    <w:name w:val="Header Char"/>
    <w:basedOn w:val="DefaultParagraphFont"/>
    <w:link w:val="Header"/>
    <w:rsid w:val="00B47C88"/>
    <w:rPr>
      <w:rFonts w:eastAsia="Times New Roman"/>
      <w:sz w:val="16"/>
    </w:rPr>
  </w:style>
  <w:style w:type="character" w:customStyle="1" w:styleId="AGBaseC">
    <w:name w:val="A&amp;G BaseC"/>
    <w:basedOn w:val="DefaultParagraphFont"/>
    <w:uiPriority w:val="1"/>
    <w:qFormat/>
    <w:rsid w:val="00E952AE"/>
    <w:rPr>
      <w:rFonts w:ascii="Arial" w:hAnsi="Arial"/>
      <w:sz w:val="20"/>
    </w:rPr>
  </w:style>
  <w:style w:type="paragraph" w:customStyle="1" w:styleId="Parties">
    <w:name w:val="Parties"/>
    <w:rsid w:val="00CB7BDF"/>
    <w:pPr>
      <w:keepLines/>
      <w:numPr>
        <w:numId w:val="12"/>
      </w:numPr>
      <w:spacing w:after="240"/>
      <w:jc w:val="both"/>
    </w:pPr>
    <w:rPr>
      <w:rFonts w:eastAsia="SimSun"/>
      <w:lang w:val="en-US"/>
    </w:rPr>
  </w:style>
  <w:style w:type="paragraph" w:customStyle="1" w:styleId="Recitals">
    <w:name w:val="Recitals"/>
    <w:rsid w:val="00CB7BDF"/>
    <w:pPr>
      <w:keepLines/>
      <w:numPr>
        <w:numId w:val="13"/>
      </w:numPr>
      <w:spacing w:after="240"/>
      <w:jc w:val="both"/>
    </w:pPr>
    <w:rPr>
      <w:rFonts w:eastAsia="SimSun"/>
      <w:lang w:val="en-US"/>
    </w:rPr>
  </w:style>
  <w:style w:type="paragraph" w:customStyle="1" w:styleId="ScheduleH1">
    <w:name w:val="Schedule H1"/>
    <w:rsid w:val="00CB7BDF"/>
    <w:pPr>
      <w:keepNext/>
      <w:numPr>
        <w:numId w:val="14"/>
      </w:numPr>
      <w:spacing w:after="240"/>
      <w:jc w:val="both"/>
      <w:outlineLvl w:val="0"/>
    </w:pPr>
    <w:rPr>
      <w:rFonts w:eastAsia="SimSun"/>
      <w:b/>
      <w:sz w:val="22"/>
      <w:szCs w:val="22"/>
      <w:lang w:val="en-US"/>
    </w:rPr>
  </w:style>
  <w:style w:type="paragraph" w:customStyle="1" w:styleId="ScheduleH2">
    <w:name w:val="Schedule H2"/>
    <w:rsid w:val="00CB7BDF"/>
    <w:pPr>
      <w:numPr>
        <w:ilvl w:val="1"/>
        <w:numId w:val="14"/>
      </w:numPr>
      <w:spacing w:after="240"/>
      <w:jc w:val="both"/>
      <w:outlineLvl w:val="1"/>
    </w:pPr>
    <w:rPr>
      <w:rFonts w:eastAsia="SimSun"/>
    </w:rPr>
  </w:style>
  <w:style w:type="paragraph" w:customStyle="1" w:styleId="ScheduleH3">
    <w:name w:val="Schedule H3"/>
    <w:rsid w:val="00CB7BDF"/>
    <w:pPr>
      <w:numPr>
        <w:ilvl w:val="2"/>
        <w:numId w:val="14"/>
      </w:numPr>
      <w:spacing w:after="240"/>
      <w:jc w:val="both"/>
      <w:outlineLvl w:val="2"/>
    </w:pPr>
    <w:rPr>
      <w:rFonts w:eastAsia="SimSun"/>
    </w:rPr>
  </w:style>
  <w:style w:type="paragraph" w:customStyle="1" w:styleId="ScheduleH4">
    <w:name w:val="Schedule H4"/>
    <w:rsid w:val="00CB7BDF"/>
    <w:pPr>
      <w:numPr>
        <w:ilvl w:val="3"/>
        <w:numId w:val="14"/>
      </w:numPr>
      <w:spacing w:after="240"/>
      <w:jc w:val="both"/>
      <w:outlineLvl w:val="3"/>
    </w:pPr>
    <w:rPr>
      <w:rFonts w:eastAsia="SimSun"/>
    </w:rPr>
  </w:style>
  <w:style w:type="paragraph" w:customStyle="1" w:styleId="ScheduleH5">
    <w:name w:val="Schedule H5"/>
    <w:rsid w:val="00CB7BDF"/>
    <w:pPr>
      <w:numPr>
        <w:ilvl w:val="4"/>
        <w:numId w:val="14"/>
      </w:numPr>
      <w:spacing w:after="240"/>
      <w:jc w:val="both"/>
      <w:outlineLvl w:val="4"/>
    </w:pPr>
    <w:rPr>
      <w:rFonts w:eastAsia="SimSun"/>
    </w:rPr>
  </w:style>
  <w:style w:type="paragraph" w:customStyle="1" w:styleId="ScheduleH6">
    <w:name w:val="Schedule H6"/>
    <w:rsid w:val="00CB7BDF"/>
    <w:pPr>
      <w:numPr>
        <w:ilvl w:val="5"/>
        <w:numId w:val="14"/>
      </w:numPr>
      <w:spacing w:after="240"/>
      <w:jc w:val="both"/>
      <w:outlineLvl w:val="8"/>
    </w:pPr>
    <w:rPr>
      <w:rFonts w:eastAsia="SimSun"/>
      <w:lang w:val="en-US"/>
    </w:rPr>
  </w:style>
  <w:style w:type="paragraph" w:customStyle="1" w:styleId="Schedule-1Title">
    <w:name w:val="Schedule-1 Title"/>
    <w:next w:val="BodyText"/>
    <w:rsid w:val="00CB7BDF"/>
    <w:pPr>
      <w:pageBreakBefore/>
      <w:numPr>
        <w:numId w:val="15"/>
      </w:numPr>
      <w:spacing w:after="240"/>
      <w:jc w:val="center"/>
      <w:outlineLvl w:val="0"/>
    </w:pPr>
    <w:rPr>
      <w:rFonts w:eastAsia="SimSun" w:cs="Arial"/>
      <w:b/>
      <w:bCs/>
      <w:sz w:val="22"/>
      <w:szCs w:val="22"/>
    </w:rPr>
  </w:style>
  <w:style w:type="paragraph" w:customStyle="1" w:styleId="Schedule-2Title">
    <w:name w:val="Schedule-2 Title"/>
    <w:next w:val="BodyText"/>
    <w:rsid w:val="00CB7BDF"/>
    <w:pPr>
      <w:keepNext/>
      <w:keepLines/>
      <w:numPr>
        <w:ilvl w:val="1"/>
        <w:numId w:val="15"/>
      </w:numPr>
      <w:spacing w:after="240"/>
      <w:jc w:val="both"/>
      <w:outlineLvl w:val="1"/>
    </w:pPr>
    <w:rPr>
      <w:rFonts w:eastAsia="SimSun"/>
      <w:b/>
      <w:lang w:eastAsia="en-US"/>
    </w:rPr>
  </w:style>
  <w:style w:type="paragraph" w:customStyle="1" w:styleId="Schedule-3Title">
    <w:name w:val="Schedule-3 Title"/>
    <w:rsid w:val="00CB7BDF"/>
    <w:pPr>
      <w:numPr>
        <w:ilvl w:val="2"/>
        <w:numId w:val="15"/>
      </w:numPr>
      <w:spacing w:after="240"/>
      <w:jc w:val="both"/>
      <w:outlineLvl w:val="2"/>
    </w:pPr>
    <w:rPr>
      <w:rFonts w:eastAsia="SimSun"/>
      <w:noProof/>
    </w:rPr>
  </w:style>
  <w:style w:type="numbering" w:customStyle="1" w:styleId="Style-Appendix">
    <w:name w:val="Style-Appendix"/>
    <w:basedOn w:val="NoList"/>
    <w:rsid w:val="00CB7BDF"/>
    <w:pPr>
      <w:numPr>
        <w:numId w:val="1"/>
      </w:numPr>
    </w:pPr>
  </w:style>
  <w:style w:type="numbering" w:customStyle="1" w:styleId="Style-AppendixTitle">
    <w:name w:val="Style-AppendixTitle"/>
    <w:basedOn w:val="NoList"/>
    <w:rsid w:val="00CB7BDF"/>
    <w:pPr>
      <w:numPr>
        <w:numId w:val="2"/>
      </w:numPr>
    </w:pPr>
  </w:style>
  <w:style w:type="numbering" w:customStyle="1" w:styleId="Style-Parties">
    <w:name w:val="Style-Parties"/>
    <w:basedOn w:val="NoList"/>
    <w:rsid w:val="00CB7BDF"/>
    <w:pPr>
      <w:numPr>
        <w:numId w:val="3"/>
      </w:numPr>
    </w:pPr>
  </w:style>
  <w:style w:type="numbering" w:customStyle="1" w:styleId="Style-Recitals">
    <w:name w:val="Style-Recitals"/>
    <w:basedOn w:val="NoList"/>
    <w:rsid w:val="00CB7BDF"/>
    <w:pPr>
      <w:numPr>
        <w:numId w:val="4"/>
      </w:numPr>
    </w:pPr>
  </w:style>
  <w:style w:type="numbering" w:customStyle="1" w:styleId="Style-Schedule">
    <w:name w:val="Style-Schedule"/>
    <w:basedOn w:val="NoList"/>
    <w:rsid w:val="00CB7BDF"/>
    <w:pPr>
      <w:numPr>
        <w:numId w:val="5"/>
      </w:numPr>
    </w:pPr>
  </w:style>
  <w:style w:type="numbering" w:customStyle="1" w:styleId="Style-ScheduleTitle">
    <w:name w:val="Style-ScheduleTitle"/>
    <w:basedOn w:val="NoList"/>
    <w:rsid w:val="00CB7BDF"/>
    <w:pPr>
      <w:numPr>
        <w:numId w:val="6"/>
      </w:numPr>
    </w:pPr>
  </w:style>
  <w:style w:type="table" w:styleId="TableGrid">
    <w:name w:val="Table Grid"/>
    <w:basedOn w:val="TableNormal"/>
    <w:uiPriority w:val="59"/>
    <w:rsid w:val="00CB7BDF"/>
    <w:pPr>
      <w:keepLines/>
    </w:pPr>
    <w:rPr>
      <w:rFonts w:eastAsia="SimSun"/>
      <w:lang w:val="en-SG" w:eastAsia="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39"/>
    <w:rsid w:val="00CB7BDF"/>
    <w:pPr>
      <w:tabs>
        <w:tab w:val="left" w:pos="720"/>
        <w:tab w:val="right" w:leader="dot" w:pos="8726"/>
      </w:tabs>
      <w:spacing w:before="120" w:after="120"/>
      <w:ind w:left="720" w:hanging="720"/>
    </w:pPr>
    <w:rPr>
      <w:rFonts w:eastAsia="SimSun"/>
      <w:b/>
      <w:sz w:val="22"/>
      <w:szCs w:val="22"/>
      <w:lang w:val="en-US"/>
    </w:rPr>
  </w:style>
  <w:style w:type="paragraph" w:styleId="TOC2">
    <w:name w:val="toc 2"/>
    <w:next w:val="Normal"/>
    <w:rsid w:val="00CB7BDF"/>
    <w:pPr>
      <w:tabs>
        <w:tab w:val="left" w:pos="1440"/>
        <w:tab w:val="right" w:leader="dot" w:pos="8726"/>
      </w:tabs>
      <w:spacing w:before="120" w:after="120"/>
      <w:ind w:left="1440" w:hanging="720"/>
    </w:pPr>
    <w:rPr>
      <w:rFonts w:eastAsia="SimSun"/>
      <w:b/>
      <w:sz w:val="22"/>
      <w:szCs w:val="22"/>
    </w:rPr>
  </w:style>
  <w:style w:type="paragraph" w:styleId="TOC3">
    <w:name w:val="toc 3"/>
    <w:next w:val="Normal"/>
    <w:rsid w:val="00CB7BDF"/>
    <w:pPr>
      <w:tabs>
        <w:tab w:val="left" w:pos="2160"/>
        <w:tab w:val="right" w:leader="dot" w:pos="8726"/>
      </w:tabs>
      <w:spacing w:before="120" w:after="120"/>
      <w:ind w:left="2160" w:hanging="720"/>
    </w:pPr>
    <w:rPr>
      <w:rFonts w:eastAsia="SimSun"/>
      <w:b/>
      <w:sz w:val="22"/>
      <w:szCs w:val="22"/>
    </w:rPr>
  </w:style>
  <w:style w:type="paragraph" w:customStyle="1" w:styleId="TOCSub">
    <w:name w:val="TOC Sub"/>
    <w:basedOn w:val="AGBase"/>
    <w:rsid w:val="00CB7BDF"/>
    <w:pPr>
      <w:tabs>
        <w:tab w:val="right" w:pos="8902"/>
      </w:tabs>
    </w:pPr>
    <w:rPr>
      <w:b/>
      <w:lang w:val="en-US"/>
    </w:rPr>
  </w:style>
  <w:style w:type="paragraph" w:customStyle="1" w:styleId="TOCTitle">
    <w:name w:val="TOC Title"/>
    <w:basedOn w:val="AGBase"/>
    <w:rsid w:val="00CB7BDF"/>
    <w:pPr>
      <w:jc w:val="center"/>
    </w:pPr>
    <w:rPr>
      <w:b/>
      <w:lang w:val="en-US"/>
    </w:rPr>
  </w:style>
  <w:style w:type="paragraph" w:customStyle="1" w:styleId="AGBase">
    <w:name w:val="A&amp;G Base"/>
    <w:qFormat/>
    <w:rsid w:val="00CB7BDF"/>
    <w:pPr>
      <w:spacing w:after="240"/>
      <w:jc w:val="both"/>
    </w:pPr>
    <w:rPr>
      <w:rFonts w:eastAsia="SimSun"/>
    </w:rPr>
  </w:style>
  <w:style w:type="paragraph" w:styleId="BalloonText">
    <w:name w:val="Balloon Text"/>
    <w:basedOn w:val="Normal"/>
    <w:link w:val="BalloonTextChar"/>
    <w:uiPriority w:val="99"/>
    <w:semiHidden/>
    <w:unhideWhenUsed/>
    <w:rsid w:val="00CB7B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BDF"/>
    <w:rPr>
      <w:rFonts w:ascii="Tahoma" w:hAnsi="Tahoma" w:cs="Tahoma"/>
      <w:sz w:val="16"/>
      <w:szCs w:val="16"/>
      <w:lang w:val="en-SG" w:eastAsia="en-US"/>
    </w:rPr>
  </w:style>
  <w:style w:type="paragraph" w:customStyle="1" w:styleId="BodyList">
    <w:name w:val="Body List"/>
    <w:basedOn w:val="AGBase"/>
    <w:qFormat/>
    <w:rsid w:val="00CB7BDF"/>
    <w:pPr>
      <w:numPr>
        <w:numId w:val="11"/>
      </w:numPr>
    </w:pPr>
  </w:style>
  <w:style w:type="paragraph" w:customStyle="1" w:styleId="BodyList05">
    <w:name w:val="Body List 0.5"/>
    <w:qFormat/>
    <w:rsid w:val="00377C99"/>
    <w:pPr>
      <w:numPr>
        <w:ilvl w:val="1"/>
        <w:numId w:val="11"/>
      </w:numPr>
      <w:spacing w:after="240"/>
    </w:pPr>
    <w:rPr>
      <w:rFonts w:eastAsia="SimSun"/>
    </w:rPr>
  </w:style>
  <w:style w:type="paragraph" w:customStyle="1" w:styleId="BodyList10">
    <w:name w:val="Body List 1.0"/>
    <w:basedOn w:val="AGBase"/>
    <w:qFormat/>
    <w:rsid w:val="00CB7BDF"/>
    <w:pPr>
      <w:numPr>
        <w:ilvl w:val="2"/>
        <w:numId w:val="11"/>
      </w:numPr>
    </w:pPr>
  </w:style>
  <w:style w:type="paragraph" w:customStyle="1" w:styleId="BodyList15">
    <w:name w:val="Body List 1.5"/>
    <w:basedOn w:val="AGBase"/>
    <w:qFormat/>
    <w:rsid w:val="00CB7BDF"/>
    <w:pPr>
      <w:numPr>
        <w:ilvl w:val="3"/>
        <w:numId w:val="11"/>
      </w:numPr>
    </w:pPr>
  </w:style>
  <w:style w:type="paragraph" w:customStyle="1" w:styleId="Footer6">
    <w:name w:val="Footer 6"/>
    <w:qFormat/>
    <w:rsid w:val="002911E6"/>
    <w:pPr>
      <w:spacing w:line="240" w:lineRule="auto"/>
    </w:pPr>
    <w:rPr>
      <w:rFonts w:ascii="Times New Roman" w:eastAsia="Calibri" w:hAnsi="Times New Roman"/>
      <w:sz w:val="12"/>
      <w:szCs w:val="12"/>
      <w:lang w:val="en-SG" w:eastAsia="en-US"/>
    </w:rPr>
  </w:style>
  <w:style w:type="paragraph" w:customStyle="1" w:styleId="Footer7">
    <w:name w:val="Footer 7"/>
    <w:qFormat/>
    <w:rsid w:val="002911E6"/>
    <w:pPr>
      <w:spacing w:line="240" w:lineRule="auto"/>
    </w:pPr>
    <w:rPr>
      <w:rFonts w:ascii="Times New Roman" w:eastAsia="Calibri" w:hAnsi="Times New Roman"/>
      <w:sz w:val="14"/>
      <w:szCs w:val="14"/>
      <w:lang w:val="en-SG" w:eastAsia="en-US"/>
    </w:rPr>
  </w:style>
  <w:style w:type="paragraph" w:customStyle="1" w:styleId="Footer9">
    <w:name w:val="Footer 9"/>
    <w:qFormat/>
    <w:rsid w:val="002911E6"/>
    <w:pPr>
      <w:spacing w:line="240" w:lineRule="auto"/>
    </w:pPr>
    <w:rPr>
      <w:rFonts w:ascii="Times New Roman" w:eastAsia="Calibri" w:hAnsi="Times New Roman"/>
      <w:sz w:val="18"/>
      <w:szCs w:val="14"/>
      <w:lang w:val="en-SG" w:eastAsia="en-US"/>
    </w:rPr>
  </w:style>
  <w:style w:type="character" w:styleId="Hyperlink">
    <w:name w:val="Hyperlink"/>
    <w:basedOn w:val="DefaultParagraphFont"/>
    <w:uiPriority w:val="99"/>
    <w:unhideWhenUsed/>
    <w:rsid w:val="00802CF8"/>
    <w:rPr>
      <w:color w:val="0084A9"/>
      <w:u w:val="none"/>
    </w:rPr>
  </w:style>
  <w:style w:type="character" w:styleId="PageNumber">
    <w:name w:val="page number"/>
    <w:basedOn w:val="AGBaseC"/>
    <w:rsid w:val="00E36764"/>
    <w:rPr>
      <w:rFonts w:ascii="Arial" w:hAnsi="Arial"/>
      <w:sz w:val="16"/>
    </w:rPr>
  </w:style>
  <w:style w:type="numbering" w:customStyle="1" w:styleId="Style-BodyList">
    <w:name w:val="Style-Body List"/>
    <w:basedOn w:val="NoList"/>
    <w:uiPriority w:val="99"/>
    <w:rsid w:val="00CB7BDF"/>
    <w:pPr>
      <w:numPr>
        <w:numId w:val="7"/>
      </w:numPr>
    </w:pPr>
  </w:style>
  <w:style w:type="paragraph" w:customStyle="1" w:styleId="LetterH1">
    <w:name w:val="Letter H1"/>
    <w:basedOn w:val="AGBase"/>
    <w:rsid w:val="00847300"/>
    <w:pPr>
      <w:numPr>
        <w:numId w:val="16"/>
      </w:numPr>
      <w:outlineLvl w:val="0"/>
    </w:pPr>
  </w:style>
  <w:style w:type="paragraph" w:customStyle="1" w:styleId="LetterH2">
    <w:name w:val="Letter H2"/>
    <w:basedOn w:val="AGBase"/>
    <w:rsid w:val="00847300"/>
    <w:pPr>
      <w:numPr>
        <w:ilvl w:val="1"/>
        <w:numId w:val="16"/>
      </w:numPr>
      <w:outlineLvl w:val="1"/>
    </w:pPr>
  </w:style>
  <w:style w:type="paragraph" w:customStyle="1" w:styleId="LetterH3">
    <w:name w:val="Letter H3"/>
    <w:basedOn w:val="AGBase"/>
    <w:rsid w:val="00847300"/>
    <w:pPr>
      <w:numPr>
        <w:ilvl w:val="2"/>
        <w:numId w:val="16"/>
      </w:numPr>
      <w:outlineLvl w:val="2"/>
    </w:pPr>
  </w:style>
  <w:style w:type="paragraph" w:customStyle="1" w:styleId="LetterH4">
    <w:name w:val="Letter H4"/>
    <w:basedOn w:val="AGBase"/>
    <w:rsid w:val="00847300"/>
    <w:pPr>
      <w:numPr>
        <w:ilvl w:val="3"/>
        <w:numId w:val="16"/>
      </w:numPr>
      <w:outlineLvl w:val="3"/>
    </w:pPr>
  </w:style>
  <w:style w:type="paragraph" w:customStyle="1" w:styleId="LetterH5">
    <w:name w:val="Letter H5"/>
    <w:basedOn w:val="AGBase"/>
    <w:rsid w:val="00847300"/>
    <w:pPr>
      <w:numPr>
        <w:ilvl w:val="4"/>
        <w:numId w:val="16"/>
      </w:numPr>
      <w:outlineLvl w:val="4"/>
    </w:pPr>
  </w:style>
  <w:style w:type="numbering" w:customStyle="1" w:styleId="Style-Letter">
    <w:name w:val="Style-Letter"/>
    <w:basedOn w:val="NoList"/>
    <w:rsid w:val="00847300"/>
    <w:pPr>
      <w:numPr>
        <w:numId w:val="16"/>
      </w:numPr>
    </w:pPr>
  </w:style>
  <w:style w:type="character" w:styleId="FollowedHyperlink">
    <w:name w:val="FollowedHyperlink"/>
    <w:basedOn w:val="DefaultParagraphFont"/>
    <w:uiPriority w:val="99"/>
    <w:semiHidden/>
    <w:unhideWhenUsed/>
    <w:rsid w:val="00802CF8"/>
    <w:rPr>
      <w:color w:val="7F7F7F" w:themeColor="text1" w:themeTint="80"/>
      <w:u w:val="none"/>
    </w:rPr>
  </w:style>
  <w:style w:type="paragraph" w:styleId="Title">
    <w:name w:val="Title"/>
    <w:basedOn w:val="AGBase"/>
    <w:next w:val="Normal"/>
    <w:link w:val="TitleChar"/>
    <w:uiPriority w:val="10"/>
    <w:qFormat/>
    <w:rsid w:val="004073FF"/>
    <w:pPr>
      <w:pageBreakBefore/>
      <w:contextualSpacing/>
      <w:jc w:val="center"/>
      <w:outlineLvl w:val="0"/>
    </w:pPr>
    <w:rPr>
      <w:rFonts w:eastAsiaTheme="majorEastAsia" w:cstheme="majorBidi"/>
      <w:b/>
      <w:sz w:val="22"/>
      <w:szCs w:val="22"/>
    </w:rPr>
  </w:style>
  <w:style w:type="character" w:customStyle="1" w:styleId="TitleChar">
    <w:name w:val="Title Char"/>
    <w:basedOn w:val="DefaultParagraphFont"/>
    <w:link w:val="Title"/>
    <w:uiPriority w:val="10"/>
    <w:rsid w:val="004073FF"/>
    <w:rPr>
      <w:rFonts w:eastAsiaTheme="majorEastAsia" w:cstheme="majorBidi"/>
      <w:b/>
      <w:sz w:val="22"/>
      <w:szCs w:val="22"/>
    </w:rPr>
  </w:style>
  <w:style w:type="paragraph" w:styleId="FootnoteText">
    <w:name w:val="footnote text"/>
    <w:basedOn w:val="Normal"/>
    <w:link w:val="FootnoteTextChar"/>
    <w:uiPriority w:val="99"/>
    <w:semiHidden/>
    <w:unhideWhenUsed/>
    <w:rsid w:val="00443B41"/>
    <w:pPr>
      <w:spacing w:line="240" w:lineRule="auto"/>
    </w:pPr>
    <w:rPr>
      <w:sz w:val="16"/>
    </w:rPr>
  </w:style>
  <w:style w:type="character" w:customStyle="1" w:styleId="FootnoteTextChar">
    <w:name w:val="Footnote Text Char"/>
    <w:basedOn w:val="DefaultParagraphFont"/>
    <w:link w:val="FootnoteText"/>
    <w:uiPriority w:val="99"/>
    <w:semiHidden/>
    <w:rsid w:val="00443B41"/>
    <w:rPr>
      <w:rFonts w:cstheme="minorBidi"/>
      <w:sz w:val="16"/>
      <w:lang w:val="en-SG" w:eastAsia="en-US"/>
    </w:rPr>
  </w:style>
  <w:style w:type="paragraph" w:styleId="ListParagraph">
    <w:name w:val="List Paragraph"/>
    <w:basedOn w:val="Normal"/>
    <w:uiPriority w:val="34"/>
    <w:qFormat/>
    <w:rsid w:val="005F4344"/>
    <w:pPr>
      <w:ind w:left="720"/>
      <w:contextualSpacing/>
    </w:pPr>
  </w:style>
  <w:style w:type="character" w:customStyle="1" w:styleId="s4">
    <w:name w:val="s4"/>
    <w:basedOn w:val="DefaultParagraphFont"/>
    <w:rsid w:val="005F43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lang w:val="en-GB" w:eastAsia="zh-CN" w:bidi="ar-SA"/>
      </w:rPr>
    </w:rPrDefault>
    <w:pPrDefault>
      <w:pPr>
        <w:spacing w:line="29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344"/>
    <w:rPr>
      <w:rFonts w:eastAsia="SimSun"/>
      <w:lang w:val="en-SG"/>
    </w:rPr>
  </w:style>
  <w:style w:type="paragraph" w:styleId="Heading1">
    <w:name w:val="heading 1"/>
    <w:link w:val="Heading1Char"/>
    <w:qFormat/>
    <w:rsid w:val="00CB7BDF"/>
    <w:pPr>
      <w:keepNext/>
      <w:numPr>
        <w:numId w:val="8"/>
      </w:numPr>
      <w:spacing w:after="240"/>
      <w:jc w:val="both"/>
      <w:outlineLvl w:val="0"/>
    </w:pPr>
    <w:rPr>
      <w:b/>
      <w:sz w:val="22"/>
      <w:szCs w:val="22"/>
      <w:lang w:val="en-US"/>
    </w:rPr>
  </w:style>
  <w:style w:type="paragraph" w:styleId="Heading2">
    <w:name w:val="heading 2"/>
    <w:link w:val="Heading2Char"/>
    <w:qFormat/>
    <w:rsid w:val="00CB7BDF"/>
    <w:pPr>
      <w:numPr>
        <w:ilvl w:val="1"/>
        <w:numId w:val="8"/>
      </w:numPr>
      <w:spacing w:after="240"/>
      <w:jc w:val="both"/>
      <w:outlineLvl w:val="1"/>
    </w:pPr>
  </w:style>
  <w:style w:type="paragraph" w:styleId="Heading3">
    <w:name w:val="heading 3"/>
    <w:link w:val="Heading3Char"/>
    <w:qFormat/>
    <w:rsid w:val="00CB7BDF"/>
    <w:pPr>
      <w:numPr>
        <w:ilvl w:val="2"/>
        <w:numId w:val="8"/>
      </w:numPr>
      <w:spacing w:after="240"/>
      <w:jc w:val="both"/>
      <w:outlineLvl w:val="2"/>
    </w:pPr>
  </w:style>
  <w:style w:type="paragraph" w:styleId="Heading4">
    <w:name w:val="heading 4"/>
    <w:link w:val="Heading4Char"/>
    <w:qFormat/>
    <w:rsid w:val="00CB7BDF"/>
    <w:pPr>
      <w:numPr>
        <w:ilvl w:val="3"/>
        <w:numId w:val="8"/>
      </w:numPr>
      <w:spacing w:after="240"/>
      <w:jc w:val="both"/>
      <w:outlineLvl w:val="3"/>
    </w:pPr>
  </w:style>
  <w:style w:type="paragraph" w:styleId="Heading5">
    <w:name w:val="heading 5"/>
    <w:link w:val="Heading5Char"/>
    <w:qFormat/>
    <w:rsid w:val="00CB7BDF"/>
    <w:pPr>
      <w:numPr>
        <w:ilvl w:val="4"/>
        <w:numId w:val="8"/>
      </w:numPr>
      <w:spacing w:after="240"/>
      <w:jc w:val="both"/>
      <w:outlineLvl w:val="4"/>
    </w:pPr>
  </w:style>
  <w:style w:type="paragraph" w:styleId="Heading6">
    <w:name w:val="heading 6"/>
    <w:link w:val="Heading6Char"/>
    <w:qFormat/>
    <w:rsid w:val="00CB7BDF"/>
    <w:pPr>
      <w:numPr>
        <w:ilvl w:val="5"/>
        <w:numId w:val="8"/>
      </w:numPr>
      <w:spacing w:after="240"/>
      <w:jc w:val="both"/>
      <w:outlineLvl w:val="5"/>
    </w:pPr>
  </w:style>
  <w:style w:type="paragraph" w:styleId="Heading7">
    <w:name w:val="heading 7"/>
    <w:link w:val="Heading7Char"/>
    <w:qFormat/>
    <w:rsid w:val="00CB7BDF"/>
    <w:pPr>
      <w:numPr>
        <w:ilvl w:val="6"/>
        <w:numId w:val="8"/>
      </w:numPr>
      <w:spacing w:after="240"/>
      <w:jc w:val="both"/>
      <w:outlineLvl w:val="6"/>
    </w:pPr>
  </w:style>
  <w:style w:type="paragraph" w:styleId="Heading8">
    <w:name w:val="heading 8"/>
    <w:link w:val="Heading8Char"/>
    <w:qFormat/>
    <w:rsid w:val="00CB7BDF"/>
    <w:pPr>
      <w:numPr>
        <w:ilvl w:val="7"/>
        <w:numId w:val="8"/>
      </w:numPr>
      <w:spacing w:after="240"/>
      <w:jc w:val="both"/>
      <w:outlineLvl w:val="7"/>
    </w:pPr>
  </w:style>
  <w:style w:type="paragraph" w:styleId="Heading9">
    <w:name w:val="heading 9"/>
    <w:link w:val="Heading9Char"/>
    <w:qFormat/>
    <w:rsid w:val="00CB7BDF"/>
    <w:pPr>
      <w:numPr>
        <w:ilvl w:val="8"/>
        <w:numId w:val="8"/>
      </w:numPr>
      <w:spacing w:after="24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7BDF"/>
    <w:rPr>
      <w:b/>
      <w:sz w:val="22"/>
      <w:szCs w:val="22"/>
      <w:lang w:val="en-US"/>
    </w:rPr>
  </w:style>
  <w:style w:type="character" w:customStyle="1" w:styleId="Heading2Char">
    <w:name w:val="Heading 2 Char"/>
    <w:basedOn w:val="DefaultParagraphFont"/>
    <w:link w:val="Heading2"/>
    <w:rsid w:val="00CB7BDF"/>
  </w:style>
  <w:style w:type="character" w:customStyle="1" w:styleId="Heading3Char">
    <w:name w:val="Heading 3 Char"/>
    <w:basedOn w:val="DefaultParagraphFont"/>
    <w:link w:val="Heading3"/>
    <w:rsid w:val="00CB7BDF"/>
  </w:style>
  <w:style w:type="character" w:customStyle="1" w:styleId="Heading4Char">
    <w:name w:val="Heading 4 Char"/>
    <w:basedOn w:val="DefaultParagraphFont"/>
    <w:link w:val="Heading4"/>
    <w:rsid w:val="00CB7BDF"/>
  </w:style>
  <w:style w:type="character" w:customStyle="1" w:styleId="Heading5Char">
    <w:name w:val="Heading 5 Char"/>
    <w:basedOn w:val="DefaultParagraphFont"/>
    <w:link w:val="Heading5"/>
    <w:rsid w:val="00CB7BDF"/>
  </w:style>
  <w:style w:type="character" w:customStyle="1" w:styleId="Heading6Char">
    <w:name w:val="Heading 6 Char"/>
    <w:basedOn w:val="DefaultParagraphFont"/>
    <w:link w:val="Heading6"/>
    <w:rsid w:val="00CB7BDF"/>
  </w:style>
  <w:style w:type="character" w:customStyle="1" w:styleId="Heading7Char">
    <w:name w:val="Heading 7 Char"/>
    <w:basedOn w:val="DefaultParagraphFont"/>
    <w:link w:val="Heading7"/>
    <w:rsid w:val="00CB7BDF"/>
  </w:style>
  <w:style w:type="character" w:customStyle="1" w:styleId="Heading8Char">
    <w:name w:val="Heading 8 Char"/>
    <w:basedOn w:val="DefaultParagraphFont"/>
    <w:link w:val="Heading8"/>
    <w:rsid w:val="00CB7BDF"/>
  </w:style>
  <w:style w:type="character" w:customStyle="1" w:styleId="Heading9Char">
    <w:name w:val="Heading 9 Char"/>
    <w:basedOn w:val="DefaultParagraphFont"/>
    <w:link w:val="Heading9"/>
    <w:rsid w:val="00CB7BDF"/>
  </w:style>
  <w:style w:type="paragraph" w:customStyle="1" w:styleId="AppendixH1">
    <w:name w:val="Appendix H1"/>
    <w:rsid w:val="00CB7BDF"/>
    <w:pPr>
      <w:keepNext/>
      <w:numPr>
        <w:numId w:val="9"/>
      </w:numPr>
      <w:spacing w:after="240"/>
      <w:jc w:val="both"/>
      <w:outlineLvl w:val="0"/>
    </w:pPr>
    <w:rPr>
      <w:rFonts w:eastAsia="SimSun"/>
      <w:b/>
      <w:sz w:val="22"/>
      <w:szCs w:val="22"/>
      <w:lang w:val="en-US"/>
    </w:rPr>
  </w:style>
  <w:style w:type="paragraph" w:customStyle="1" w:styleId="AppendixH2">
    <w:name w:val="Appendix H2"/>
    <w:rsid w:val="00CB7BDF"/>
    <w:pPr>
      <w:numPr>
        <w:ilvl w:val="1"/>
        <w:numId w:val="9"/>
      </w:numPr>
      <w:spacing w:after="240"/>
      <w:jc w:val="both"/>
      <w:outlineLvl w:val="1"/>
    </w:pPr>
    <w:rPr>
      <w:rFonts w:eastAsia="SimSun"/>
    </w:rPr>
  </w:style>
  <w:style w:type="paragraph" w:customStyle="1" w:styleId="AppendixH3">
    <w:name w:val="Appendix H3"/>
    <w:rsid w:val="00CB7BDF"/>
    <w:pPr>
      <w:numPr>
        <w:ilvl w:val="2"/>
        <w:numId w:val="9"/>
      </w:numPr>
      <w:spacing w:after="240"/>
      <w:jc w:val="both"/>
      <w:outlineLvl w:val="2"/>
    </w:pPr>
    <w:rPr>
      <w:rFonts w:eastAsia="SimSun"/>
    </w:rPr>
  </w:style>
  <w:style w:type="paragraph" w:customStyle="1" w:styleId="AppendixH4">
    <w:name w:val="Appendix H4"/>
    <w:rsid w:val="00CB7BDF"/>
    <w:pPr>
      <w:numPr>
        <w:ilvl w:val="3"/>
        <w:numId w:val="9"/>
      </w:numPr>
      <w:spacing w:after="240"/>
      <w:jc w:val="both"/>
      <w:outlineLvl w:val="3"/>
    </w:pPr>
    <w:rPr>
      <w:rFonts w:eastAsia="SimSun"/>
    </w:rPr>
  </w:style>
  <w:style w:type="paragraph" w:customStyle="1" w:styleId="AppendixH5">
    <w:name w:val="Appendix H5"/>
    <w:rsid w:val="00CB7BDF"/>
    <w:pPr>
      <w:numPr>
        <w:ilvl w:val="4"/>
        <w:numId w:val="9"/>
      </w:numPr>
      <w:spacing w:after="240"/>
      <w:jc w:val="both"/>
      <w:outlineLvl w:val="4"/>
    </w:pPr>
    <w:rPr>
      <w:rFonts w:eastAsia="SimSun"/>
    </w:rPr>
  </w:style>
  <w:style w:type="paragraph" w:customStyle="1" w:styleId="AppendixH6">
    <w:name w:val="Appendix H6"/>
    <w:rsid w:val="00CB7BDF"/>
    <w:pPr>
      <w:numPr>
        <w:ilvl w:val="5"/>
        <w:numId w:val="9"/>
      </w:numPr>
      <w:spacing w:after="240"/>
      <w:jc w:val="both"/>
      <w:outlineLvl w:val="5"/>
    </w:pPr>
    <w:rPr>
      <w:rFonts w:eastAsia="SimSun"/>
      <w:lang w:val="en-US"/>
    </w:rPr>
  </w:style>
  <w:style w:type="paragraph" w:customStyle="1" w:styleId="Appendix-1Title">
    <w:name w:val="Appendix-1 Title"/>
    <w:next w:val="BodyText"/>
    <w:rsid w:val="00CB7BDF"/>
    <w:pPr>
      <w:pageBreakBefore/>
      <w:numPr>
        <w:numId w:val="10"/>
      </w:numPr>
      <w:spacing w:after="240"/>
      <w:jc w:val="center"/>
      <w:outlineLvl w:val="0"/>
    </w:pPr>
    <w:rPr>
      <w:rFonts w:eastAsia="SimSun" w:cs="Arial"/>
      <w:b/>
      <w:bCs/>
      <w:sz w:val="22"/>
      <w:szCs w:val="22"/>
    </w:rPr>
  </w:style>
  <w:style w:type="paragraph" w:styleId="BodyText">
    <w:name w:val="Body Text"/>
    <w:basedOn w:val="AGBase"/>
    <w:link w:val="BodyTextChar"/>
    <w:rsid w:val="00CB7BDF"/>
  </w:style>
  <w:style w:type="character" w:customStyle="1" w:styleId="BodyTextChar">
    <w:name w:val="Body Text Char"/>
    <w:basedOn w:val="DefaultParagraphFont"/>
    <w:link w:val="BodyText"/>
    <w:rsid w:val="00CB7BDF"/>
    <w:rPr>
      <w:rFonts w:eastAsia="SimSun"/>
    </w:rPr>
  </w:style>
  <w:style w:type="paragraph" w:customStyle="1" w:styleId="Appendix-2Title">
    <w:name w:val="Appendix-2 Title"/>
    <w:next w:val="BodyText"/>
    <w:rsid w:val="00CB7BDF"/>
    <w:pPr>
      <w:keepNext/>
      <w:keepLines/>
      <w:numPr>
        <w:ilvl w:val="1"/>
        <w:numId w:val="10"/>
      </w:numPr>
      <w:spacing w:after="240"/>
      <w:jc w:val="both"/>
      <w:outlineLvl w:val="1"/>
    </w:pPr>
    <w:rPr>
      <w:rFonts w:eastAsia="SimSun"/>
      <w:b/>
      <w:noProof/>
    </w:rPr>
  </w:style>
  <w:style w:type="paragraph" w:customStyle="1" w:styleId="Appendix-3Title">
    <w:name w:val="Appendix-3 Title"/>
    <w:rsid w:val="00CB7BDF"/>
    <w:pPr>
      <w:numPr>
        <w:ilvl w:val="2"/>
        <w:numId w:val="10"/>
      </w:numPr>
      <w:spacing w:after="240"/>
      <w:jc w:val="both"/>
      <w:outlineLvl w:val="2"/>
    </w:pPr>
    <w:rPr>
      <w:rFonts w:eastAsia="SimSun"/>
      <w:b/>
      <w:noProof/>
    </w:rPr>
  </w:style>
  <w:style w:type="paragraph" w:customStyle="1" w:styleId="BodyText05">
    <w:name w:val="Body Text 0.5"/>
    <w:basedOn w:val="AGBase"/>
    <w:rsid w:val="00CB7BDF"/>
    <w:pPr>
      <w:ind w:left="720"/>
    </w:pPr>
    <w:rPr>
      <w:lang w:eastAsia="en-US"/>
    </w:rPr>
  </w:style>
  <w:style w:type="paragraph" w:customStyle="1" w:styleId="BodyText10">
    <w:name w:val="Body Text 1.0"/>
    <w:basedOn w:val="AGBase"/>
    <w:rsid w:val="00CB7BDF"/>
    <w:pPr>
      <w:ind w:left="1440"/>
    </w:pPr>
    <w:rPr>
      <w:lang w:eastAsia="en-US"/>
    </w:rPr>
  </w:style>
  <w:style w:type="paragraph" w:customStyle="1" w:styleId="BodyText15">
    <w:name w:val="Body Text 1.5"/>
    <w:basedOn w:val="AGBase"/>
    <w:rsid w:val="00CB7BDF"/>
    <w:pPr>
      <w:ind w:left="2160"/>
    </w:pPr>
  </w:style>
  <w:style w:type="paragraph" w:customStyle="1" w:styleId="DMSFooter">
    <w:name w:val="DMSFooter"/>
    <w:basedOn w:val="Footer"/>
    <w:rsid w:val="00E74440"/>
    <w:pPr>
      <w:tabs>
        <w:tab w:val="clear" w:pos="4451"/>
        <w:tab w:val="clear" w:pos="8902"/>
        <w:tab w:val="center" w:pos="4450"/>
        <w:tab w:val="right" w:pos="8899"/>
      </w:tabs>
      <w:spacing w:line="290" w:lineRule="auto"/>
      <w:jc w:val="left"/>
    </w:pPr>
    <w:rPr>
      <w:sz w:val="12"/>
      <w:lang w:val="en-SG"/>
    </w:rPr>
  </w:style>
  <w:style w:type="paragraph" w:styleId="Footer">
    <w:name w:val="footer"/>
    <w:basedOn w:val="AGBase"/>
    <w:link w:val="FooterChar"/>
    <w:rsid w:val="00E74440"/>
    <w:pPr>
      <w:tabs>
        <w:tab w:val="center" w:pos="4451"/>
        <w:tab w:val="right" w:pos="8902"/>
      </w:tabs>
      <w:spacing w:after="0" w:line="240" w:lineRule="auto"/>
      <w:jc w:val="right"/>
    </w:pPr>
    <w:rPr>
      <w:sz w:val="16"/>
    </w:rPr>
  </w:style>
  <w:style w:type="character" w:customStyle="1" w:styleId="FooterChar">
    <w:name w:val="Footer Char"/>
    <w:basedOn w:val="DefaultParagraphFont"/>
    <w:link w:val="Footer"/>
    <w:rsid w:val="00E74440"/>
    <w:rPr>
      <w:rFonts w:eastAsia="SimSun"/>
      <w:sz w:val="16"/>
    </w:rPr>
  </w:style>
  <w:style w:type="character" w:styleId="FootnoteReference">
    <w:name w:val="footnote reference"/>
    <w:basedOn w:val="AGBaseC"/>
    <w:uiPriority w:val="99"/>
    <w:rsid w:val="00CB7BDF"/>
    <w:rPr>
      <w:rFonts w:ascii="Arial" w:eastAsia="SimSun" w:hAnsi="Arial"/>
      <w:color w:val="auto"/>
      <w:sz w:val="16"/>
      <w:u w:val="none"/>
      <w:vertAlign w:val="superscript"/>
      <w:em w:val="none"/>
    </w:rPr>
  </w:style>
  <w:style w:type="paragraph" w:styleId="Header">
    <w:name w:val="header"/>
    <w:basedOn w:val="AGBase"/>
    <w:link w:val="HeaderChar"/>
    <w:rsid w:val="00B47C88"/>
    <w:pPr>
      <w:spacing w:after="0" w:line="240" w:lineRule="auto"/>
    </w:pPr>
    <w:rPr>
      <w:rFonts w:eastAsia="Times New Roman"/>
      <w:sz w:val="16"/>
    </w:rPr>
  </w:style>
  <w:style w:type="character" w:customStyle="1" w:styleId="HeaderChar">
    <w:name w:val="Header Char"/>
    <w:basedOn w:val="DefaultParagraphFont"/>
    <w:link w:val="Header"/>
    <w:rsid w:val="00B47C88"/>
    <w:rPr>
      <w:rFonts w:eastAsia="Times New Roman"/>
      <w:sz w:val="16"/>
    </w:rPr>
  </w:style>
  <w:style w:type="character" w:customStyle="1" w:styleId="AGBaseC">
    <w:name w:val="A&amp;G BaseC"/>
    <w:basedOn w:val="DefaultParagraphFont"/>
    <w:uiPriority w:val="1"/>
    <w:qFormat/>
    <w:rsid w:val="00E952AE"/>
    <w:rPr>
      <w:rFonts w:ascii="Arial" w:hAnsi="Arial"/>
      <w:sz w:val="20"/>
    </w:rPr>
  </w:style>
  <w:style w:type="paragraph" w:customStyle="1" w:styleId="Parties">
    <w:name w:val="Parties"/>
    <w:rsid w:val="00CB7BDF"/>
    <w:pPr>
      <w:keepLines/>
      <w:numPr>
        <w:numId w:val="12"/>
      </w:numPr>
      <w:spacing w:after="240"/>
      <w:jc w:val="both"/>
    </w:pPr>
    <w:rPr>
      <w:rFonts w:eastAsia="SimSun"/>
      <w:lang w:val="en-US"/>
    </w:rPr>
  </w:style>
  <w:style w:type="paragraph" w:customStyle="1" w:styleId="Recitals">
    <w:name w:val="Recitals"/>
    <w:rsid w:val="00CB7BDF"/>
    <w:pPr>
      <w:keepLines/>
      <w:numPr>
        <w:numId w:val="13"/>
      </w:numPr>
      <w:spacing w:after="240"/>
      <w:jc w:val="both"/>
    </w:pPr>
    <w:rPr>
      <w:rFonts w:eastAsia="SimSun"/>
      <w:lang w:val="en-US"/>
    </w:rPr>
  </w:style>
  <w:style w:type="paragraph" w:customStyle="1" w:styleId="ScheduleH1">
    <w:name w:val="Schedule H1"/>
    <w:rsid w:val="00CB7BDF"/>
    <w:pPr>
      <w:keepNext/>
      <w:numPr>
        <w:numId w:val="14"/>
      </w:numPr>
      <w:spacing w:after="240"/>
      <w:jc w:val="both"/>
      <w:outlineLvl w:val="0"/>
    </w:pPr>
    <w:rPr>
      <w:rFonts w:eastAsia="SimSun"/>
      <w:b/>
      <w:sz w:val="22"/>
      <w:szCs w:val="22"/>
      <w:lang w:val="en-US"/>
    </w:rPr>
  </w:style>
  <w:style w:type="paragraph" w:customStyle="1" w:styleId="ScheduleH2">
    <w:name w:val="Schedule H2"/>
    <w:rsid w:val="00CB7BDF"/>
    <w:pPr>
      <w:numPr>
        <w:ilvl w:val="1"/>
        <w:numId w:val="14"/>
      </w:numPr>
      <w:spacing w:after="240"/>
      <w:jc w:val="both"/>
      <w:outlineLvl w:val="1"/>
    </w:pPr>
    <w:rPr>
      <w:rFonts w:eastAsia="SimSun"/>
    </w:rPr>
  </w:style>
  <w:style w:type="paragraph" w:customStyle="1" w:styleId="ScheduleH3">
    <w:name w:val="Schedule H3"/>
    <w:rsid w:val="00CB7BDF"/>
    <w:pPr>
      <w:numPr>
        <w:ilvl w:val="2"/>
        <w:numId w:val="14"/>
      </w:numPr>
      <w:spacing w:after="240"/>
      <w:jc w:val="both"/>
      <w:outlineLvl w:val="2"/>
    </w:pPr>
    <w:rPr>
      <w:rFonts w:eastAsia="SimSun"/>
    </w:rPr>
  </w:style>
  <w:style w:type="paragraph" w:customStyle="1" w:styleId="ScheduleH4">
    <w:name w:val="Schedule H4"/>
    <w:rsid w:val="00CB7BDF"/>
    <w:pPr>
      <w:numPr>
        <w:ilvl w:val="3"/>
        <w:numId w:val="14"/>
      </w:numPr>
      <w:spacing w:after="240"/>
      <w:jc w:val="both"/>
      <w:outlineLvl w:val="3"/>
    </w:pPr>
    <w:rPr>
      <w:rFonts w:eastAsia="SimSun"/>
    </w:rPr>
  </w:style>
  <w:style w:type="paragraph" w:customStyle="1" w:styleId="ScheduleH5">
    <w:name w:val="Schedule H5"/>
    <w:rsid w:val="00CB7BDF"/>
    <w:pPr>
      <w:numPr>
        <w:ilvl w:val="4"/>
        <w:numId w:val="14"/>
      </w:numPr>
      <w:spacing w:after="240"/>
      <w:jc w:val="both"/>
      <w:outlineLvl w:val="4"/>
    </w:pPr>
    <w:rPr>
      <w:rFonts w:eastAsia="SimSun"/>
    </w:rPr>
  </w:style>
  <w:style w:type="paragraph" w:customStyle="1" w:styleId="ScheduleH6">
    <w:name w:val="Schedule H6"/>
    <w:rsid w:val="00CB7BDF"/>
    <w:pPr>
      <w:numPr>
        <w:ilvl w:val="5"/>
        <w:numId w:val="14"/>
      </w:numPr>
      <w:spacing w:after="240"/>
      <w:jc w:val="both"/>
      <w:outlineLvl w:val="8"/>
    </w:pPr>
    <w:rPr>
      <w:rFonts w:eastAsia="SimSun"/>
      <w:lang w:val="en-US"/>
    </w:rPr>
  </w:style>
  <w:style w:type="paragraph" w:customStyle="1" w:styleId="Schedule-1Title">
    <w:name w:val="Schedule-1 Title"/>
    <w:next w:val="BodyText"/>
    <w:rsid w:val="00CB7BDF"/>
    <w:pPr>
      <w:pageBreakBefore/>
      <w:numPr>
        <w:numId w:val="15"/>
      </w:numPr>
      <w:spacing w:after="240"/>
      <w:jc w:val="center"/>
      <w:outlineLvl w:val="0"/>
    </w:pPr>
    <w:rPr>
      <w:rFonts w:eastAsia="SimSun" w:cs="Arial"/>
      <w:b/>
      <w:bCs/>
      <w:sz w:val="22"/>
      <w:szCs w:val="22"/>
    </w:rPr>
  </w:style>
  <w:style w:type="paragraph" w:customStyle="1" w:styleId="Schedule-2Title">
    <w:name w:val="Schedule-2 Title"/>
    <w:next w:val="BodyText"/>
    <w:rsid w:val="00CB7BDF"/>
    <w:pPr>
      <w:keepNext/>
      <w:keepLines/>
      <w:numPr>
        <w:ilvl w:val="1"/>
        <w:numId w:val="15"/>
      </w:numPr>
      <w:spacing w:after="240"/>
      <w:jc w:val="both"/>
      <w:outlineLvl w:val="1"/>
    </w:pPr>
    <w:rPr>
      <w:rFonts w:eastAsia="SimSun"/>
      <w:b/>
      <w:lang w:eastAsia="en-US"/>
    </w:rPr>
  </w:style>
  <w:style w:type="paragraph" w:customStyle="1" w:styleId="Schedule-3Title">
    <w:name w:val="Schedule-3 Title"/>
    <w:rsid w:val="00CB7BDF"/>
    <w:pPr>
      <w:numPr>
        <w:ilvl w:val="2"/>
        <w:numId w:val="15"/>
      </w:numPr>
      <w:spacing w:after="240"/>
      <w:jc w:val="both"/>
      <w:outlineLvl w:val="2"/>
    </w:pPr>
    <w:rPr>
      <w:rFonts w:eastAsia="SimSun"/>
      <w:noProof/>
    </w:rPr>
  </w:style>
  <w:style w:type="numbering" w:customStyle="1" w:styleId="Style-Appendix">
    <w:name w:val="Style-Appendix"/>
    <w:basedOn w:val="NoList"/>
    <w:rsid w:val="00CB7BDF"/>
    <w:pPr>
      <w:numPr>
        <w:numId w:val="1"/>
      </w:numPr>
    </w:pPr>
  </w:style>
  <w:style w:type="numbering" w:customStyle="1" w:styleId="Style-AppendixTitle">
    <w:name w:val="Style-AppendixTitle"/>
    <w:basedOn w:val="NoList"/>
    <w:rsid w:val="00CB7BDF"/>
    <w:pPr>
      <w:numPr>
        <w:numId w:val="2"/>
      </w:numPr>
    </w:pPr>
  </w:style>
  <w:style w:type="numbering" w:customStyle="1" w:styleId="Style-Parties">
    <w:name w:val="Style-Parties"/>
    <w:basedOn w:val="NoList"/>
    <w:rsid w:val="00CB7BDF"/>
    <w:pPr>
      <w:numPr>
        <w:numId w:val="3"/>
      </w:numPr>
    </w:pPr>
  </w:style>
  <w:style w:type="numbering" w:customStyle="1" w:styleId="Style-Recitals">
    <w:name w:val="Style-Recitals"/>
    <w:basedOn w:val="NoList"/>
    <w:rsid w:val="00CB7BDF"/>
    <w:pPr>
      <w:numPr>
        <w:numId w:val="4"/>
      </w:numPr>
    </w:pPr>
  </w:style>
  <w:style w:type="numbering" w:customStyle="1" w:styleId="Style-Schedule">
    <w:name w:val="Style-Schedule"/>
    <w:basedOn w:val="NoList"/>
    <w:rsid w:val="00CB7BDF"/>
    <w:pPr>
      <w:numPr>
        <w:numId w:val="5"/>
      </w:numPr>
    </w:pPr>
  </w:style>
  <w:style w:type="numbering" w:customStyle="1" w:styleId="Style-ScheduleTitle">
    <w:name w:val="Style-ScheduleTitle"/>
    <w:basedOn w:val="NoList"/>
    <w:rsid w:val="00CB7BDF"/>
    <w:pPr>
      <w:numPr>
        <w:numId w:val="6"/>
      </w:numPr>
    </w:pPr>
  </w:style>
  <w:style w:type="table" w:styleId="TableGrid">
    <w:name w:val="Table Grid"/>
    <w:basedOn w:val="TableNormal"/>
    <w:uiPriority w:val="59"/>
    <w:rsid w:val="00CB7BDF"/>
    <w:pPr>
      <w:keepLines/>
    </w:pPr>
    <w:rPr>
      <w:rFonts w:eastAsia="SimSun"/>
      <w:lang w:val="en-SG" w:eastAsia="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39"/>
    <w:rsid w:val="00CB7BDF"/>
    <w:pPr>
      <w:tabs>
        <w:tab w:val="left" w:pos="720"/>
        <w:tab w:val="right" w:leader="dot" w:pos="8726"/>
      </w:tabs>
      <w:spacing w:before="120" w:after="120"/>
      <w:ind w:left="720" w:hanging="720"/>
    </w:pPr>
    <w:rPr>
      <w:rFonts w:eastAsia="SimSun"/>
      <w:b/>
      <w:sz w:val="22"/>
      <w:szCs w:val="22"/>
      <w:lang w:val="en-US"/>
    </w:rPr>
  </w:style>
  <w:style w:type="paragraph" w:styleId="TOC2">
    <w:name w:val="toc 2"/>
    <w:next w:val="Normal"/>
    <w:rsid w:val="00CB7BDF"/>
    <w:pPr>
      <w:tabs>
        <w:tab w:val="left" w:pos="1440"/>
        <w:tab w:val="right" w:leader="dot" w:pos="8726"/>
      </w:tabs>
      <w:spacing w:before="120" w:after="120"/>
      <w:ind w:left="1440" w:hanging="720"/>
    </w:pPr>
    <w:rPr>
      <w:rFonts w:eastAsia="SimSun"/>
      <w:b/>
      <w:sz w:val="22"/>
      <w:szCs w:val="22"/>
    </w:rPr>
  </w:style>
  <w:style w:type="paragraph" w:styleId="TOC3">
    <w:name w:val="toc 3"/>
    <w:next w:val="Normal"/>
    <w:rsid w:val="00CB7BDF"/>
    <w:pPr>
      <w:tabs>
        <w:tab w:val="left" w:pos="2160"/>
        <w:tab w:val="right" w:leader="dot" w:pos="8726"/>
      </w:tabs>
      <w:spacing w:before="120" w:after="120"/>
      <w:ind w:left="2160" w:hanging="720"/>
    </w:pPr>
    <w:rPr>
      <w:rFonts w:eastAsia="SimSun"/>
      <w:b/>
      <w:sz w:val="22"/>
      <w:szCs w:val="22"/>
    </w:rPr>
  </w:style>
  <w:style w:type="paragraph" w:customStyle="1" w:styleId="TOCSub">
    <w:name w:val="TOC Sub"/>
    <w:basedOn w:val="AGBase"/>
    <w:rsid w:val="00CB7BDF"/>
    <w:pPr>
      <w:tabs>
        <w:tab w:val="right" w:pos="8902"/>
      </w:tabs>
    </w:pPr>
    <w:rPr>
      <w:b/>
      <w:lang w:val="en-US"/>
    </w:rPr>
  </w:style>
  <w:style w:type="paragraph" w:customStyle="1" w:styleId="TOCTitle">
    <w:name w:val="TOC Title"/>
    <w:basedOn w:val="AGBase"/>
    <w:rsid w:val="00CB7BDF"/>
    <w:pPr>
      <w:jc w:val="center"/>
    </w:pPr>
    <w:rPr>
      <w:b/>
      <w:lang w:val="en-US"/>
    </w:rPr>
  </w:style>
  <w:style w:type="paragraph" w:customStyle="1" w:styleId="AGBase">
    <w:name w:val="A&amp;G Base"/>
    <w:qFormat/>
    <w:rsid w:val="00CB7BDF"/>
    <w:pPr>
      <w:spacing w:after="240"/>
      <w:jc w:val="both"/>
    </w:pPr>
    <w:rPr>
      <w:rFonts w:eastAsia="SimSun"/>
    </w:rPr>
  </w:style>
  <w:style w:type="paragraph" w:styleId="BalloonText">
    <w:name w:val="Balloon Text"/>
    <w:basedOn w:val="Normal"/>
    <w:link w:val="BalloonTextChar"/>
    <w:uiPriority w:val="99"/>
    <w:semiHidden/>
    <w:unhideWhenUsed/>
    <w:rsid w:val="00CB7B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BDF"/>
    <w:rPr>
      <w:rFonts w:ascii="Tahoma" w:hAnsi="Tahoma" w:cs="Tahoma"/>
      <w:sz w:val="16"/>
      <w:szCs w:val="16"/>
      <w:lang w:val="en-SG" w:eastAsia="en-US"/>
    </w:rPr>
  </w:style>
  <w:style w:type="paragraph" w:customStyle="1" w:styleId="BodyList">
    <w:name w:val="Body List"/>
    <w:basedOn w:val="AGBase"/>
    <w:qFormat/>
    <w:rsid w:val="00CB7BDF"/>
    <w:pPr>
      <w:numPr>
        <w:numId w:val="11"/>
      </w:numPr>
    </w:pPr>
  </w:style>
  <w:style w:type="paragraph" w:customStyle="1" w:styleId="BodyList05">
    <w:name w:val="Body List 0.5"/>
    <w:qFormat/>
    <w:rsid w:val="00377C99"/>
    <w:pPr>
      <w:numPr>
        <w:ilvl w:val="1"/>
        <w:numId w:val="11"/>
      </w:numPr>
      <w:spacing w:after="240"/>
    </w:pPr>
    <w:rPr>
      <w:rFonts w:eastAsia="SimSun"/>
    </w:rPr>
  </w:style>
  <w:style w:type="paragraph" w:customStyle="1" w:styleId="BodyList10">
    <w:name w:val="Body List 1.0"/>
    <w:basedOn w:val="AGBase"/>
    <w:qFormat/>
    <w:rsid w:val="00CB7BDF"/>
    <w:pPr>
      <w:numPr>
        <w:ilvl w:val="2"/>
        <w:numId w:val="11"/>
      </w:numPr>
    </w:pPr>
  </w:style>
  <w:style w:type="paragraph" w:customStyle="1" w:styleId="BodyList15">
    <w:name w:val="Body List 1.5"/>
    <w:basedOn w:val="AGBase"/>
    <w:qFormat/>
    <w:rsid w:val="00CB7BDF"/>
    <w:pPr>
      <w:numPr>
        <w:ilvl w:val="3"/>
        <w:numId w:val="11"/>
      </w:numPr>
    </w:pPr>
  </w:style>
  <w:style w:type="paragraph" w:customStyle="1" w:styleId="Footer6">
    <w:name w:val="Footer 6"/>
    <w:qFormat/>
    <w:rsid w:val="002911E6"/>
    <w:pPr>
      <w:spacing w:line="240" w:lineRule="auto"/>
    </w:pPr>
    <w:rPr>
      <w:rFonts w:ascii="Times New Roman" w:eastAsia="Calibri" w:hAnsi="Times New Roman"/>
      <w:sz w:val="12"/>
      <w:szCs w:val="12"/>
      <w:lang w:val="en-SG" w:eastAsia="en-US"/>
    </w:rPr>
  </w:style>
  <w:style w:type="paragraph" w:customStyle="1" w:styleId="Footer7">
    <w:name w:val="Footer 7"/>
    <w:qFormat/>
    <w:rsid w:val="002911E6"/>
    <w:pPr>
      <w:spacing w:line="240" w:lineRule="auto"/>
    </w:pPr>
    <w:rPr>
      <w:rFonts w:ascii="Times New Roman" w:eastAsia="Calibri" w:hAnsi="Times New Roman"/>
      <w:sz w:val="14"/>
      <w:szCs w:val="14"/>
      <w:lang w:val="en-SG" w:eastAsia="en-US"/>
    </w:rPr>
  </w:style>
  <w:style w:type="paragraph" w:customStyle="1" w:styleId="Footer9">
    <w:name w:val="Footer 9"/>
    <w:qFormat/>
    <w:rsid w:val="002911E6"/>
    <w:pPr>
      <w:spacing w:line="240" w:lineRule="auto"/>
    </w:pPr>
    <w:rPr>
      <w:rFonts w:ascii="Times New Roman" w:eastAsia="Calibri" w:hAnsi="Times New Roman"/>
      <w:sz w:val="18"/>
      <w:szCs w:val="14"/>
      <w:lang w:val="en-SG" w:eastAsia="en-US"/>
    </w:rPr>
  </w:style>
  <w:style w:type="character" w:styleId="Hyperlink">
    <w:name w:val="Hyperlink"/>
    <w:basedOn w:val="DefaultParagraphFont"/>
    <w:uiPriority w:val="99"/>
    <w:unhideWhenUsed/>
    <w:rsid w:val="00802CF8"/>
    <w:rPr>
      <w:color w:val="0084A9"/>
      <w:u w:val="none"/>
    </w:rPr>
  </w:style>
  <w:style w:type="character" w:styleId="PageNumber">
    <w:name w:val="page number"/>
    <w:basedOn w:val="AGBaseC"/>
    <w:rsid w:val="00E36764"/>
    <w:rPr>
      <w:rFonts w:ascii="Arial" w:hAnsi="Arial"/>
      <w:sz w:val="16"/>
    </w:rPr>
  </w:style>
  <w:style w:type="numbering" w:customStyle="1" w:styleId="Style-BodyList">
    <w:name w:val="Style-Body List"/>
    <w:basedOn w:val="NoList"/>
    <w:uiPriority w:val="99"/>
    <w:rsid w:val="00CB7BDF"/>
    <w:pPr>
      <w:numPr>
        <w:numId w:val="7"/>
      </w:numPr>
    </w:pPr>
  </w:style>
  <w:style w:type="paragraph" w:customStyle="1" w:styleId="LetterH1">
    <w:name w:val="Letter H1"/>
    <w:basedOn w:val="AGBase"/>
    <w:rsid w:val="00847300"/>
    <w:pPr>
      <w:numPr>
        <w:numId w:val="16"/>
      </w:numPr>
      <w:outlineLvl w:val="0"/>
    </w:pPr>
  </w:style>
  <w:style w:type="paragraph" w:customStyle="1" w:styleId="LetterH2">
    <w:name w:val="Letter H2"/>
    <w:basedOn w:val="AGBase"/>
    <w:rsid w:val="00847300"/>
    <w:pPr>
      <w:numPr>
        <w:ilvl w:val="1"/>
        <w:numId w:val="16"/>
      </w:numPr>
      <w:outlineLvl w:val="1"/>
    </w:pPr>
  </w:style>
  <w:style w:type="paragraph" w:customStyle="1" w:styleId="LetterH3">
    <w:name w:val="Letter H3"/>
    <w:basedOn w:val="AGBase"/>
    <w:rsid w:val="00847300"/>
    <w:pPr>
      <w:numPr>
        <w:ilvl w:val="2"/>
        <w:numId w:val="16"/>
      </w:numPr>
      <w:outlineLvl w:val="2"/>
    </w:pPr>
  </w:style>
  <w:style w:type="paragraph" w:customStyle="1" w:styleId="LetterH4">
    <w:name w:val="Letter H4"/>
    <w:basedOn w:val="AGBase"/>
    <w:rsid w:val="00847300"/>
    <w:pPr>
      <w:numPr>
        <w:ilvl w:val="3"/>
        <w:numId w:val="16"/>
      </w:numPr>
      <w:outlineLvl w:val="3"/>
    </w:pPr>
  </w:style>
  <w:style w:type="paragraph" w:customStyle="1" w:styleId="LetterH5">
    <w:name w:val="Letter H5"/>
    <w:basedOn w:val="AGBase"/>
    <w:rsid w:val="00847300"/>
    <w:pPr>
      <w:numPr>
        <w:ilvl w:val="4"/>
        <w:numId w:val="16"/>
      </w:numPr>
      <w:outlineLvl w:val="4"/>
    </w:pPr>
  </w:style>
  <w:style w:type="numbering" w:customStyle="1" w:styleId="Style-Letter">
    <w:name w:val="Style-Letter"/>
    <w:basedOn w:val="NoList"/>
    <w:rsid w:val="00847300"/>
    <w:pPr>
      <w:numPr>
        <w:numId w:val="16"/>
      </w:numPr>
    </w:pPr>
  </w:style>
  <w:style w:type="character" w:styleId="FollowedHyperlink">
    <w:name w:val="FollowedHyperlink"/>
    <w:basedOn w:val="DefaultParagraphFont"/>
    <w:uiPriority w:val="99"/>
    <w:semiHidden/>
    <w:unhideWhenUsed/>
    <w:rsid w:val="00802CF8"/>
    <w:rPr>
      <w:color w:val="7F7F7F" w:themeColor="text1" w:themeTint="80"/>
      <w:u w:val="none"/>
    </w:rPr>
  </w:style>
  <w:style w:type="paragraph" w:styleId="Title">
    <w:name w:val="Title"/>
    <w:basedOn w:val="AGBase"/>
    <w:next w:val="Normal"/>
    <w:link w:val="TitleChar"/>
    <w:uiPriority w:val="10"/>
    <w:qFormat/>
    <w:rsid w:val="004073FF"/>
    <w:pPr>
      <w:pageBreakBefore/>
      <w:contextualSpacing/>
      <w:jc w:val="center"/>
      <w:outlineLvl w:val="0"/>
    </w:pPr>
    <w:rPr>
      <w:rFonts w:eastAsiaTheme="majorEastAsia" w:cstheme="majorBidi"/>
      <w:b/>
      <w:sz w:val="22"/>
      <w:szCs w:val="22"/>
    </w:rPr>
  </w:style>
  <w:style w:type="character" w:customStyle="1" w:styleId="TitleChar">
    <w:name w:val="Title Char"/>
    <w:basedOn w:val="DefaultParagraphFont"/>
    <w:link w:val="Title"/>
    <w:uiPriority w:val="10"/>
    <w:rsid w:val="004073FF"/>
    <w:rPr>
      <w:rFonts w:eastAsiaTheme="majorEastAsia" w:cstheme="majorBidi"/>
      <w:b/>
      <w:sz w:val="22"/>
      <w:szCs w:val="22"/>
    </w:rPr>
  </w:style>
  <w:style w:type="paragraph" w:styleId="FootnoteText">
    <w:name w:val="footnote text"/>
    <w:basedOn w:val="Normal"/>
    <w:link w:val="FootnoteTextChar"/>
    <w:uiPriority w:val="99"/>
    <w:semiHidden/>
    <w:unhideWhenUsed/>
    <w:rsid w:val="00443B41"/>
    <w:pPr>
      <w:spacing w:line="240" w:lineRule="auto"/>
    </w:pPr>
    <w:rPr>
      <w:sz w:val="16"/>
    </w:rPr>
  </w:style>
  <w:style w:type="character" w:customStyle="1" w:styleId="FootnoteTextChar">
    <w:name w:val="Footnote Text Char"/>
    <w:basedOn w:val="DefaultParagraphFont"/>
    <w:link w:val="FootnoteText"/>
    <w:uiPriority w:val="99"/>
    <w:semiHidden/>
    <w:rsid w:val="00443B41"/>
    <w:rPr>
      <w:rFonts w:cstheme="minorBidi"/>
      <w:sz w:val="16"/>
      <w:lang w:val="en-SG" w:eastAsia="en-US"/>
    </w:rPr>
  </w:style>
  <w:style w:type="paragraph" w:styleId="ListParagraph">
    <w:name w:val="List Paragraph"/>
    <w:basedOn w:val="Normal"/>
    <w:uiPriority w:val="34"/>
    <w:qFormat/>
    <w:rsid w:val="005F4344"/>
    <w:pPr>
      <w:ind w:left="720"/>
      <w:contextualSpacing/>
    </w:pPr>
  </w:style>
  <w:style w:type="character" w:customStyle="1" w:styleId="s4">
    <w:name w:val="s4"/>
    <w:basedOn w:val="DefaultParagraphFont"/>
    <w:rsid w:val="005F43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2AC79-4FDC-4BAC-805F-F8483FC45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7602</Words>
  <Characters>43335</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50836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Chooi Ling Lau, CLSA</dc:creator>
  <cp:lastModifiedBy>Chooi Ling Lau, CLSA</cp:lastModifiedBy>
  <cp:revision>2</cp:revision>
  <dcterms:created xsi:type="dcterms:W3CDTF">2019-04-02T12:40:00Z</dcterms:created>
  <dcterms:modified xsi:type="dcterms:W3CDTF">2019-04-02T12:40:00Z</dcterms:modified>
</cp:coreProperties>
</file>